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8508" w14:textId="77777777" w:rsidR="00FC39DA" w:rsidRPr="00EB7504" w:rsidRDefault="00FC39DA">
      <w:pPr>
        <w:jc w:val="center"/>
        <w:rPr>
          <w:b/>
          <w:sz w:val="22"/>
          <w:szCs w:val="22"/>
          <w:lang w:val="en-GB"/>
        </w:rPr>
      </w:pPr>
    </w:p>
    <w:p w14:paraId="06AB7055" w14:textId="77777777" w:rsidR="00FC39DA" w:rsidRPr="00EB7504" w:rsidRDefault="00FC39DA">
      <w:pPr>
        <w:jc w:val="center"/>
        <w:rPr>
          <w:b/>
          <w:sz w:val="22"/>
          <w:szCs w:val="22"/>
          <w:lang w:val="en-GB"/>
        </w:rPr>
      </w:pPr>
    </w:p>
    <w:p w14:paraId="7A011A0F" w14:textId="0DFA9928" w:rsidR="00FC39DA" w:rsidRPr="00EB7504" w:rsidRDefault="00AE52E4">
      <w:pPr>
        <w:jc w:val="center"/>
        <w:rPr>
          <w:b/>
          <w:lang w:val="en-GB"/>
        </w:rPr>
      </w:pPr>
      <w:r w:rsidRPr="00EB7504">
        <w:rPr>
          <w:b/>
          <w:lang w:val="en-GB"/>
        </w:rPr>
        <w:t>ELECTRICITY BALANCE</w:t>
      </w:r>
      <w:r w:rsidR="00FC39DA" w:rsidRPr="00EB7504">
        <w:rPr>
          <w:b/>
          <w:lang w:val="en-GB"/>
        </w:rPr>
        <w:t xml:space="preserve"> AGREEMENT no. </w:t>
      </w:r>
      <w:r w:rsidR="00EB7504" w:rsidRPr="00EB7504">
        <w:rPr>
          <w:b/>
        </w:rPr>
        <w:t>[</w:t>
      </w:r>
      <w:r w:rsidR="00EB7504" w:rsidRPr="00EB7504">
        <w:rPr>
          <w:b/>
          <w:highlight w:val="yellow"/>
        </w:rPr>
        <w:t>….</w:t>
      </w:r>
      <w:r w:rsidR="00EB7504" w:rsidRPr="00EB7504">
        <w:rPr>
          <w:b/>
        </w:rPr>
        <w:t>]</w:t>
      </w:r>
    </w:p>
    <w:p w14:paraId="17519F99" w14:textId="77777777" w:rsidR="00FC39DA" w:rsidRPr="00EB7504" w:rsidRDefault="00FC39DA">
      <w:pPr>
        <w:spacing w:before="120" w:after="120"/>
        <w:jc w:val="both"/>
        <w:rPr>
          <w:sz w:val="22"/>
          <w:szCs w:val="22"/>
          <w:lang w:val="en-GB"/>
        </w:rPr>
      </w:pPr>
    </w:p>
    <w:p w14:paraId="73766415" w14:textId="5F39BE5E" w:rsidR="00FC39DA" w:rsidRPr="00EB7504" w:rsidRDefault="00EB7504">
      <w:pPr>
        <w:spacing w:before="120" w:after="120"/>
        <w:jc w:val="both"/>
        <w:rPr>
          <w:sz w:val="22"/>
          <w:szCs w:val="22"/>
          <w:lang w:val="en-GB"/>
        </w:rPr>
      </w:pPr>
      <w:r w:rsidRPr="00EB7504">
        <w:rPr>
          <w:sz w:val="22"/>
          <w:szCs w:val="22"/>
          <w:highlight w:val="yellow"/>
        </w:rPr>
        <w:t>…..</w:t>
      </w:r>
      <w:r w:rsidRPr="00EB7504">
        <w:rPr>
          <w:sz w:val="22"/>
          <w:szCs w:val="22"/>
        </w:rPr>
        <w:t xml:space="preserve"> </w:t>
      </w:r>
      <w:r w:rsidR="00500FFE" w:rsidRPr="00EB7504">
        <w:rPr>
          <w:sz w:val="22"/>
          <w:szCs w:val="22"/>
          <w:lang w:val="en-GB"/>
        </w:rPr>
        <w:t>202</w:t>
      </w:r>
      <w:r w:rsidRPr="00EB7504">
        <w:rPr>
          <w:sz w:val="22"/>
          <w:szCs w:val="22"/>
          <w:lang w:val="en-GB"/>
        </w:rPr>
        <w:t>2</w:t>
      </w:r>
      <w:r w:rsidR="00FC39DA" w:rsidRPr="00EB7504">
        <w:rPr>
          <w:sz w:val="22"/>
          <w:szCs w:val="22"/>
          <w:lang w:val="en-GB"/>
        </w:rPr>
        <w:t xml:space="preserve"> Tallinn</w:t>
      </w:r>
    </w:p>
    <w:p w14:paraId="1FEA7EC7" w14:textId="77777777" w:rsidR="00FC39DA" w:rsidRPr="00EB7504" w:rsidRDefault="00FC39DA">
      <w:pPr>
        <w:pStyle w:val="Heading1"/>
        <w:keepNext/>
        <w:numPr>
          <w:ilvl w:val="0"/>
          <w:numId w:val="11"/>
        </w:numPr>
        <w:tabs>
          <w:tab w:val="left" w:pos="2835"/>
        </w:tabs>
        <w:spacing w:before="120" w:after="120"/>
        <w:jc w:val="both"/>
        <w:rPr>
          <w:b w:val="0"/>
          <w:bCs/>
          <w:sz w:val="22"/>
          <w:szCs w:val="22"/>
          <w:lang w:val="en-GB"/>
        </w:rPr>
      </w:pPr>
      <w:r w:rsidRPr="00EB7504">
        <w:rPr>
          <w:sz w:val="22"/>
          <w:szCs w:val="22"/>
          <w:lang w:val="en-GB"/>
        </w:rPr>
        <w:t>Elering AS</w:t>
      </w:r>
      <w:r w:rsidRPr="00EB7504">
        <w:rPr>
          <w:b w:val="0"/>
          <w:sz w:val="22"/>
          <w:szCs w:val="22"/>
          <w:lang w:val="en-GB"/>
        </w:rPr>
        <w:t xml:space="preserve"> </w:t>
      </w:r>
      <w:r w:rsidRPr="00EB7504">
        <w:rPr>
          <w:sz w:val="22"/>
          <w:szCs w:val="22"/>
          <w:lang w:val="en-GB"/>
        </w:rPr>
        <w:t>(</w:t>
      </w:r>
      <w:r w:rsidRPr="00EB7504">
        <w:rPr>
          <w:b w:val="0"/>
          <w:sz w:val="22"/>
          <w:szCs w:val="22"/>
          <w:lang w:val="en-GB"/>
        </w:rPr>
        <w:t xml:space="preserve">the </w:t>
      </w:r>
      <w:r w:rsidRPr="00EB7504">
        <w:rPr>
          <w:bCs/>
          <w:sz w:val="22"/>
          <w:szCs w:val="22"/>
          <w:lang w:val="en-GB"/>
        </w:rPr>
        <w:t>System Operator</w:t>
      </w:r>
      <w:r w:rsidRPr="00EB7504">
        <w:rPr>
          <w:sz w:val="22"/>
          <w:szCs w:val="22"/>
          <w:lang w:val="en-GB"/>
        </w:rPr>
        <w:t xml:space="preserve">), </w:t>
      </w:r>
      <w:r w:rsidRPr="00EB7504">
        <w:rPr>
          <w:b w:val="0"/>
          <w:sz w:val="22"/>
          <w:szCs w:val="22"/>
          <w:lang w:val="en-GB"/>
        </w:rPr>
        <w:t xml:space="preserve">registry code 11022625, address Kadaka tee 42, 12915 Tallinn, represented in accordance with the law and the statutes by Chairman of the Board </w:t>
      </w:r>
      <w:r w:rsidRPr="00EB7504">
        <w:rPr>
          <w:b w:val="0"/>
          <w:bCs/>
          <w:sz w:val="22"/>
          <w:szCs w:val="22"/>
          <w:lang w:val="en-GB"/>
        </w:rPr>
        <w:t xml:space="preserve">Taavi Veskimägi </w:t>
      </w:r>
    </w:p>
    <w:p w14:paraId="020E6998" w14:textId="77777777" w:rsidR="00FC39DA" w:rsidRPr="00EB7504" w:rsidRDefault="00FC39DA">
      <w:pPr>
        <w:spacing w:before="120" w:after="120"/>
        <w:jc w:val="both"/>
        <w:rPr>
          <w:sz w:val="22"/>
          <w:szCs w:val="22"/>
          <w:lang w:val="en-GB"/>
        </w:rPr>
      </w:pPr>
      <w:r w:rsidRPr="00EB7504">
        <w:rPr>
          <w:sz w:val="22"/>
          <w:szCs w:val="22"/>
          <w:lang w:val="en-GB"/>
        </w:rPr>
        <w:t>and</w:t>
      </w:r>
    </w:p>
    <w:p w14:paraId="53721C09" w14:textId="7DFFF3D2" w:rsidR="00FC39DA" w:rsidRPr="00EB7504" w:rsidRDefault="00EB7504" w:rsidP="00EB7504">
      <w:pPr>
        <w:pStyle w:val="BodyText"/>
        <w:rPr>
          <w:sz w:val="22"/>
          <w:szCs w:val="22"/>
        </w:rPr>
      </w:pPr>
      <w:r w:rsidRPr="009E4D70">
        <w:rPr>
          <w:b/>
          <w:sz w:val="22"/>
          <w:szCs w:val="22"/>
          <w:highlight w:val="yellow"/>
          <w:lang w:eastAsia="et-EE"/>
        </w:rPr>
        <w:t>…..</w:t>
      </w:r>
      <w:r w:rsidRPr="002A32BF">
        <w:rPr>
          <w:b/>
          <w:sz w:val="22"/>
          <w:szCs w:val="22"/>
          <w:lang w:eastAsia="et-EE"/>
        </w:rPr>
        <w:t xml:space="preserve"> </w:t>
      </w:r>
      <w:r w:rsidR="00FC39DA" w:rsidRPr="00EB7504">
        <w:rPr>
          <w:sz w:val="22"/>
          <w:szCs w:val="22"/>
        </w:rPr>
        <w:t xml:space="preserve">(the </w:t>
      </w:r>
      <w:r w:rsidR="00FC39DA" w:rsidRPr="00EB7504">
        <w:rPr>
          <w:b/>
          <w:sz w:val="22"/>
          <w:szCs w:val="22"/>
        </w:rPr>
        <w:t xml:space="preserve">Balance </w:t>
      </w:r>
      <w:r>
        <w:rPr>
          <w:b/>
          <w:sz w:val="22"/>
          <w:szCs w:val="22"/>
        </w:rPr>
        <w:t>Responsible Party</w:t>
      </w:r>
      <w:r w:rsidR="00FC39DA" w:rsidRPr="00EB7504">
        <w:rPr>
          <w:sz w:val="22"/>
          <w:szCs w:val="22"/>
        </w:rPr>
        <w:t xml:space="preserve">), </w:t>
      </w:r>
      <w:r w:rsidR="000A02C0" w:rsidRPr="00EB7504">
        <w:rPr>
          <w:sz w:val="22"/>
          <w:szCs w:val="22"/>
        </w:rPr>
        <w:t xml:space="preserve">registry code </w:t>
      </w:r>
      <w:proofErr w:type="gramStart"/>
      <w:r w:rsidRPr="009E4D70">
        <w:rPr>
          <w:sz w:val="22"/>
          <w:szCs w:val="22"/>
          <w:highlight w:val="yellow"/>
        </w:rPr>
        <w:t>…..</w:t>
      </w:r>
      <w:proofErr w:type="gramEnd"/>
      <w:r w:rsidRPr="009E4D70">
        <w:rPr>
          <w:sz w:val="22"/>
          <w:szCs w:val="22"/>
          <w:highlight w:val="yellow"/>
        </w:rPr>
        <w:t>,</w:t>
      </w:r>
      <w:r w:rsidR="000A02C0" w:rsidRPr="00EB7504">
        <w:rPr>
          <w:sz w:val="22"/>
          <w:szCs w:val="22"/>
        </w:rPr>
        <w:t xml:space="preserve"> address </w:t>
      </w:r>
      <w:r w:rsidRPr="009E4D70">
        <w:rPr>
          <w:sz w:val="22"/>
          <w:szCs w:val="22"/>
          <w:highlight w:val="yellow"/>
        </w:rPr>
        <w:t>…..</w:t>
      </w:r>
      <w:r w:rsidR="000A02C0" w:rsidRPr="00EB7504">
        <w:rPr>
          <w:sz w:val="22"/>
          <w:szCs w:val="22"/>
        </w:rPr>
        <w:t xml:space="preserve">, represented in accordance with the law and the statutes by </w:t>
      </w:r>
      <w:r w:rsidRPr="009E4D70">
        <w:rPr>
          <w:sz w:val="22"/>
          <w:szCs w:val="22"/>
          <w:highlight w:val="yellow"/>
        </w:rPr>
        <w:t>…..</w:t>
      </w:r>
      <w:r>
        <w:rPr>
          <w:sz w:val="22"/>
          <w:szCs w:val="22"/>
        </w:rPr>
        <w:t>,</w:t>
      </w:r>
    </w:p>
    <w:p w14:paraId="5BAA6627" w14:textId="77777777" w:rsidR="00FC39DA" w:rsidRPr="00EB7504" w:rsidRDefault="00FC39DA">
      <w:pPr>
        <w:spacing w:before="120" w:after="120"/>
        <w:jc w:val="both"/>
        <w:rPr>
          <w:sz w:val="22"/>
          <w:szCs w:val="22"/>
          <w:lang w:val="en-GB"/>
        </w:rPr>
      </w:pPr>
      <w:r w:rsidRPr="00EB7504">
        <w:rPr>
          <w:sz w:val="22"/>
          <w:szCs w:val="22"/>
          <w:lang w:val="en-GB"/>
        </w:rPr>
        <w:t xml:space="preserve">Each is individually referred to as a </w:t>
      </w:r>
      <w:r w:rsidRPr="00EB7504">
        <w:rPr>
          <w:b/>
          <w:bCs/>
          <w:sz w:val="22"/>
          <w:szCs w:val="22"/>
          <w:lang w:val="en-GB"/>
        </w:rPr>
        <w:t xml:space="preserve">Party </w:t>
      </w:r>
      <w:r w:rsidRPr="00EB7504">
        <w:rPr>
          <w:sz w:val="22"/>
          <w:szCs w:val="22"/>
          <w:lang w:val="en-GB"/>
        </w:rPr>
        <w:t xml:space="preserve">and both together as </w:t>
      </w:r>
      <w:r w:rsidRPr="00EB7504">
        <w:rPr>
          <w:b/>
          <w:bCs/>
          <w:sz w:val="22"/>
          <w:szCs w:val="22"/>
          <w:lang w:val="en-GB"/>
        </w:rPr>
        <w:t>Parties</w:t>
      </w:r>
      <w:r w:rsidRPr="00EB7504">
        <w:rPr>
          <w:sz w:val="22"/>
          <w:szCs w:val="22"/>
          <w:lang w:val="en-GB"/>
        </w:rPr>
        <w:t xml:space="preserve">. </w:t>
      </w:r>
    </w:p>
    <w:p w14:paraId="331DBAB0" w14:textId="77777777" w:rsidR="00FC39DA" w:rsidRPr="00EB7504" w:rsidRDefault="00FC39DA">
      <w:pPr>
        <w:spacing w:before="120" w:after="120"/>
        <w:jc w:val="both"/>
        <w:rPr>
          <w:sz w:val="22"/>
          <w:szCs w:val="22"/>
          <w:lang w:val="en-GB"/>
        </w:rPr>
      </w:pPr>
    </w:p>
    <w:p w14:paraId="168FC795" w14:textId="77777777" w:rsidR="00FC39DA" w:rsidRPr="00EB7504" w:rsidRDefault="00BE5BBE">
      <w:pPr>
        <w:pStyle w:val="Heading1"/>
        <w:spacing w:before="120" w:after="120"/>
        <w:jc w:val="both"/>
        <w:rPr>
          <w:sz w:val="22"/>
          <w:szCs w:val="22"/>
          <w:lang w:val="en-GB"/>
        </w:rPr>
      </w:pPr>
      <w:r w:rsidRPr="00EB7504">
        <w:rPr>
          <w:sz w:val="22"/>
          <w:szCs w:val="22"/>
          <w:lang w:val="en-GB"/>
        </w:rPr>
        <w:t>Object of the Agreement</w:t>
      </w:r>
    </w:p>
    <w:p w14:paraId="24E86A36" w14:textId="77777777" w:rsidR="00FC39DA" w:rsidRPr="00EB7504" w:rsidRDefault="00FC39DA">
      <w:pPr>
        <w:pStyle w:val="Heading2"/>
        <w:numPr>
          <w:ilvl w:val="1"/>
          <w:numId w:val="9"/>
        </w:numPr>
        <w:spacing w:after="120"/>
        <w:ind w:left="340"/>
        <w:rPr>
          <w:sz w:val="22"/>
          <w:szCs w:val="22"/>
        </w:rPr>
      </w:pPr>
      <w:r w:rsidRPr="00EB7504">
        <w:rPr>
          <w:sz w:val="22"/>
          <w:szCs w:val="22"/>
        </w:rPr>
        <w:t xml:space="preserve">By signing the </w:t>
      </w:r>
      <w:proofErr w:type="gramStart"/>
      <w:r w:rsidRPr="00EB7504">
        <w:rPr>
          <w:sz w:val="22"/>
          <w:szCs w:val="22"/>
        </w:rPr>
        <w:t>agreement</w:t>
      </w:r>
      <w:proofErr w:type="gramEnd"/>
      <w:r w:rsidRPr="00EB7504">
        <w:rPr>
          <w:sz w:val="22"/>
          <w:szCs w:val="22"/>
        </w:rPr>
        <w:t xml:space="preserve"> the Parties agree that under the agreement the System Operator sells Balancing Electricity to or buys Balancing Electricity from the Balance Provider as open supply in the amounts needed in order to maintain balance in each trading period;</w:t>
      </w:r>
    </w:p>
    <w:p w14:paraId="033F4D3F" w14:textId="77777777" w:rsidR="00FC39DA" w:rsidRPr="00EB7504" w:rsidRDefault="00FC39DA">
      <w:pPr>
        <w:pStyle w:val="Heading2"/>
        <w:numPr>
          <w:ilvl w:val="1"/>
          <w:numId w:val="9"/>
        </w:numPr>
        <w:spacing w:after="120"/>
        <w:ind w:left="340"/>
        <w:rPr>
          <w:sz w:val="22"/>
          <w:szCs w:val="22"/>
        </w:rPr>
      </w:pPr>
      <w:r w:rsidRPr="00EB7504">
        <w:rPr>
          <w:sz w:val="22"/>
          <w:szCs w:val="22"/>
        </w:rPr>
        <w:t>This Agreement is not an agreement for the systematic pre-planned sale or purchase of electricity.</w:t>
      </w:r>
    </w:p>
    <w:p w14:paraId="2E832322" w14:textId="77777777" w:rsidR="00FC39DA" w:rsidRPr="00EB7504" w:rsidRDefault="00FC39DA">
      <w:pPr>
        <w:pStyle w:val="Heading2"/>
        <w:numPr>
          <w:ilvl w:val="0"/>
          <w:numId w:val="0"/>
        </w:numPr>
        <w:spacing w:after="120"/>
        <w:ind w:left="340"/>
        <w:rPr>
          <w:sz w:val="22"/>
          <w:szCs w:val="22"/>
        </w:rPr>
      </w:pPr>
      <w:r w:rsidRPr="00EB7504">
        <w:rPr>
          <w:sz w:val="22"/>
          <w:szCs w:val="22"/>
        </w:rPr>
        <w:t xml:space="preserve"> </w:t>
      </w:r>
    </w:p>
    <w:p w14:paraId="77E7A080" w14:textId="77777777" w:rsidR="00FC39DA" w:rsidRPr="00EB7504" w:rsidRDefault="00FC39DA">
      <w:pPr>
        <w:pStyle w:val="Heading2"/>
        <w:numPr>
          <w:ilvl w:val="0"/>
          <w:numId w:val="9"/>
        </w:numPr>
        <w:spacing w:after="120"/>
        <w:rPr>
          <w:b/>
          <w:sz w:val="22"/>
          <w:szCs w:val="22"/>
        </w:rPr>
      </w:pPr>
      <w:r w:rsidRPr="00EB7504">
        <w:rPr>
          <w:b/>
          <w:sz w:val="22"/>
          <w:szCs w:val="22"/>
        </w:rPr>
        <w:t>The rights and obligations of the Parties</w:t>
      </w:r>
    </w:p>
    <w:p w14:paraId="0C05347B" w14:textId="3D7D61B6" w:rsidR="00FC39DA" w:rsidRPr="00EB7504" w:rsidRDefault="00FC39DA" w:rsidP="000A02C0">
      <w:pPr>
        <w:pStyle w:val="Heading2"/>
        <w:numPr>
          <w:ilvl w:val="1"/>
          <w:numId w:val="9"/>
        </w:numPr>
        <w:spacing w:after="120"/>
        <w:rPr>
          <w:sz w:val="22"/>
          <w:szCs w:val="22"/>
        </w:rPr>
      </w:pPr>
      <w:r w:rsidRPr="00EB7504">
        <w:rPr>
          <w:sz w:val="22"/>
          <w:szCs w:val="22"/>
        </w:rPr>
        <w:t xml:space="preserve">The precise terms and conditions of the provision of the service described in point 1.1 and the rights and obligations of the System Operator and the </w:t>
      </w:r>
      <w:r w:rsidR="00EB7504">
        <w:rPr>
          <w:sz w:val="22"/>
          <w:szCs w:val="22"/>
        </w:rPr>
        <w:t>Balance Responsible Party</w:t>
      </w:r>
      <w:r w:rsidRPr="00EB7504">
        <w:rPr>
          <w:sz w:val="22"/>
          <w:szCs w:val="22"/>
        </w:rPr>
        <w:t xml:space="preserve"> are set out in the Annexes listed in section 4, which are an integral part of this Agreement, </w:t>
      </w:r>
      <w:r w:rsidR="000A02C0" w:rsidRPr="00EB7504">
        <w:rPr>
          <w:sz w:val="22"/>
          <w:szCs w:val="22"/>
        </w:rPr>
        <w:t>and</w:t>
      </w:r>
      <w:r w:rsidRPr="00EB7504">
        <w:rPr>
          <w:sz w:val="22"/>
          <w:szCs w:val="22"/>
        </w:rPr>
        <w:t xml:space="preserve"> the Elering AS </w:t>
      </w:r>
      <w:r w:rsidR="000A02C0" w:rsidRPr="00EB7504">
        <w:rPr>
          <w:sz w:val="22"/>
          <w:szCs w:val="22"/>
        </w:rPr>
        <w:t>Standard Terms and Conditions of the Electricity Balance Agreement</w:t>
      </w:r>
      <w:r w:rsidRPr="00EB7504">
        <w:rPr>
          <w:sz w:val="22"/>
          <w:szCs w:val="22"/>
        </w:rPr>
        <w:t xml:space="preserve"> (the Standard Terms</w:t>
      </w:r>
      <w:r w:rsidR="000A02C0" w:rsidRPr="00EB7504">
        <w:rPr>
          <w:sz w:val="22"/>
          <w:szCs w:val="22"/>
        </w:rPr>
        <w:t xml:space="preserve"> and Conditions</w:t>
      </w:r>
      <w:r w:rsidRPr="00EB7504">
        <w:rPr>
          <w:sz w:val="22"/>
          <w:szCs w:val="22"/>
        </w:rPr>
        <w:t xml:space="preserve">), which apply to this Agreement and can be found on the website of the System Operator </w:t>
      </w:r>
      <w:hyperlink r:id="rId6" w:history="1">
        <w:r w:rsidRPr="00EB7504">
          <w:rPr>
            <w:rStyle w:val="Hyperlink"/>
            <w:sz w:val="22"/>
            <w:szCs w:val="22"/>
          </w:rPr>
          <w:t>www.elering.ee</w:t>
        </w:r>
      </w:hyperlink>
      <w:r w:rsidRPr="00EB7504">
        <w:rPr>
          <w:sz w:val="22"/>
          <w:szCs w:val="22"/>
        </w:rPr>
        <w:t>.</w:t>
      </w:r>
    </w:p>
    <w:p w14:paraId="3EBB0E67" w14:textId="77777777" w:rsidR="00FC39DA" w:rsidRPr="00EB7504" w:rsidRDefault="000A02C0" w:rsidP="000A02C0">
      <w:pPr>
        <w:pStyle w:val="Heading2"/>
        <w:numPr>
          <w:ilvl w:val="1"/>
          <w:numId w:val="9"/>
        </w:numPr>
        <w:spacing w:after="120"/>
        <w:rPr>
          <w:sz w:val="22"/>
          <w:szCs w:val="22"/>
        </w:rPr>
      </w:pPr>
      <w:r w:rsidRPr="00EB7504">
        <w:rPr>
          <w:sz w:val="22"/>
          <w:szCs w:val="22"/>
        </w:rPr>
        <w:t>The Agreement will be subject to the Standard Terms and Conditions applicable at the time of the event or action.</w:t>
      </w:r>
    </w:p>
    <w:p w14:paraId="29245658" w14:textId="77777777" w:rsidR="00FC39DA" w:rsidRPr="00EB7504" w:rsidRDefault="00FC39DA">
      <w:pPr>
        <w:spacing w:before="120" w:after="120"/>
        <w:jc w:val="both"/>
        <w:rPr>
          <w:sz w:val="22"/>
          <w:szCs w:val="22"/>
          <w:lang w:val="en-GB"/>
        </w:rPr>
      </w:pPr>
    </w:p>
    <w:p w14:paraId="72112809" w14:textId="77777777" w:rsidR="00FC39DA" w:rsidRPr="00EB7504" w:rsidRDefault="00BE5BBE">
      <w:pPr>
        <w:pStyle w:val="Heading1"/>
        <w:numPr>
          <w:ilvl w:val="0"/>
          <w:numId w:val="9"/>
        </w:numPr>
        <w:spacing w:before="120" w:after="120"/>
        <w:jc w:val="both"/>
        <w:rPr>
          <w:sz w:val="22"/>
          <w:szCs w:val="22"/>
          <w:lang w:val="en-GB"/>
        </w:rPr>
      </w:pPr>
      <w:r w:rsidRPr="00EB7504">
        <w:rPr>
          <w:sz w:val="22"/>
          <w:szCs w:val="22"/>
          <w:lang w:val="en-GB"/>
        </w:rPr>
        <w:t>Validity of the Agreement</w:t>
      </w:r>
    </w:p>
    <w:p w14:paraId="1739D8B5" w14:textId="21C3B354" w:rsidR="00FC39DA" w:rsidRPr="00EB7504" w:rsidRDefault="00FC39DA">
      <w:pPr>
        <w:pStyle w:val="Heading2"/>
        <w:numPr>
          <w:ilvl w:val="1"/>
          <w:numId w:val="9"/>
        </w:numPr>
        <w:spacing w:after="120"/>
        <w:ind w:left="340"/>
        <w:rPr>
          <w:sz w:val="22"/>
          <w:szCs w:val="22"/>
        </w:rPr>
      </w:pPr>
      <w:r w:rsidRPr="00EB7504">
        <w:rPr>
          <w:sz w:val="22"/>
          <w:szCs w:val="22"/>
        </w:rPr>
        <w:t xml:space="preserve">The Agreement as signed consists of </w:t>
      </w:r>
      <w:r w:rsidR="004809F9" w:rsidRPr="00EB7504">
        <w:rPr>
          <w:sz w:val="22"/>
          <w:szCs w:val="22"/>
        </w:rPr>
        <w:t>four</w:t>
      </w:r>
      <w:r w:rsidRPr="00EB7504">
        <w:rPr>
          <w:sz w:val="22"/>
          <w:szCs w:val="22"/>
        </w:rPr>
        <w:t xml:space="preserve"> (</w:t>
      </w:r>
      <w:r w:rsidR="004809F9" w:rsidRPr="00EB7504">
        <w:rPr>
          <w:sz w:val="22"/>
          <w:szCs w:val="22"/>
        </w:rPr>
        <w:t>4</w:t>
      </w:r>
      <w:r w:rsidRPr="00EB7504">
        <w:rPr>
          <w:sz w:val="22"/>
          <w:szCs w:val="22"/>
        </w:rPr>
        <w:t xml:space="preserve">) pages in two (2) copies, each with equal force, one of which shall remain with the System Operator and the other with the </w:t>
      </w:r>
      <w:r w:rsidR="00EB7504">
        <w:rPr>
          <w:sz w:val="22"/>
          <w:szCs w:val="22"/>
        </w:rPr>
        <w:t>Balance Responsible Party</w:t>
      </w:r>
      <w:r w:rsidRPr="00EB7504">
        <w:rPr>
          <w:sz w:val="22"/>
          <w:szCs w:val="22"/>
        </w:rPr>
        <w:t>.</w:t>
      </w:r>
    </w:p>
    <w:p w14:paraId="213B5FE9" w14:textId="77777777" w:rsidR="00FC39DA" w:rsidRPr="00EB7504" w:rsidRDefault="00FC39DA">
      <w:pPr>
        <w:pStyle w:val="Heading2"/>
        <w:numPr>
          <w:ilvl w:val="1"/>
          <w:numId w:val="9"/>
        </w:numPr>
        <w:spacing w:after="120"/>
        <w:ind w:left="340"/>
        <w:rPr>
          <w:sz w:val="22"/>
          <w:szCs w:val="22"/>
        </w:rPr>
      </w:pPr>
      <w:r w:rsidRPr="00EB7504">
        <w:rPr>
          <w:sz w:val="22"/>
          <w:szCs w:val="22"/>
        </w:rPr>
        <w:t xml:space="preserve">The Agreement </w:t>
      </w:r>
      <w:proofErr w:type="gramStart"/>
      <w:r w:rsidRPr="00EB7504">
        <w:rPr>
          <w:sz w:val="22"/>
          <w:szCs w:val="22"/>
        </w:rPr>
        <w:t>is considered to be</w:t>
      </w:r>
      <w:proofErr w:type="gramEnd"/>
      <w:r w:rsidRPr="00EB7504">
        <w:rPr>
          <w:sz w:val="22"/>
          <w:szCs w:val="22"/>
        </w:rPr>
        <w:t xml:space="preserve"> </w:t>
      </w:r>
      <w:r w:rsidR="000A02C0" w:rsidRPr="00EB7504">
        <w:rPr>
          <w:sz w:val="22"/>
          <w:szCs w:val="22"/>
        </w:rPr>
        <w:t>entered into force as of</w:t>
      </w:r>
      <w:r w:rsidRPr="00EB7504">
        <w:rPr>
          <w:sz w:val="22"/>
          <w:szCs w:val="22"/>
        </w:rPr>
        <w:t xml:space="preserve"> the moment it has been signed by both Parties. The Agreement comes into force at the time and in the circumstances set out in the Standard Terms</w:t>
      </w:r>
      <w:r w:rsidR="000A02C0" w:rsidRPr="00EB7504">
        <w:rPr>
          <w:sz w:val="22"/>
          <w:szCs w:val="22"/>
        </w:rPr>
        <w:t xml:space="preserve"> and Conditions</w:t>
      </w:r>
      <w:r w:rsidRPr="00EB7504">
        <w:rPr>
          <w:sz w:val="22"/>
          <w:szCs w:val="22"/>
        </w:rPr>
        <w:t>. The Agreement is signed without limit of duration.</w:t>
      </w:r>
    </w:p>
    <w:p w14:paraId="7DDB4468" w14:textId="24E4DEDE" w:rsidR="00605E66" w:rsidRPr="00EB7504" w:rsidRDefault="004F75F2" w:rsidP="004F75F2">
      <w:pPr>
        <w:pStyle w:val="Heading2"/>
        <w:numPr>
          <w:ilvl w:val="1"/>
          <w:numId w:val="9"/>
        </w:numPr>
        <w:spacing w:after="120"/>
        <w:rPr>
          <w:sz w:val="22"/>
          <w:szCs w:val="22"/>
        </w:rPr>
      </w:pPr>
      <w:r w:rsidRPr="00EB7504">
        <w:rPr>
          <w:sz w:val="22"/>
          <w:szCs w:val="22"/>
        </w:rPr>
        <w:t xml:space="preserve">The </w:t>
      </w:r>
      <w:r w:rsidR="00EB7504">
        <w:rPr>
          <w:sz w:val="22"/>
          <w:szCs w:val="22"/>
        </w:rPr>
        <w:t>Balance Responsible Party</w:t>
      </w:r>
      <w:r w:rsidRPr="00EB7504">
        <w:rPr>
          <w:sz w:val="22"/>
          <w:szCs w:val="22"/>
        </w:rPr>
        <w:t xml:space="preserve"> is obligated to submit to the System Operator not later than by the day the Agreement comes into force a permanent guarantee by a bank accepted by the System Operator in the sum of 31,955 EUR, which must remain valid during the entirety of the Agreement and not less than four months after the Agreement has been terminated. As an alternative, the </w:t>
      </w:r>
      <w:r w:rsidR="00EB7504">
        <w:rPr>
          <w:sz w:val="22"/>
          <w:szCs w:val="22"/>
        </w:rPr>
        <w:t>Balance Responsible Party</w:t>
      </w:r>
      <w:r w:rsidRPr="00EB7504">
        <w:rPr>
          <w:sz w:val="22"/>
          <w:szCs w:val="22"/>
        </w:rPr>
        <w:t xml:space="preserve"> may submit a deposit to the System Operator in the </w:t>
      </w:r>
      <w:proofErr w:type="gramStart"/>
      <w:r w:rsidRPr="00EB7504">
        <w:rPr>
          <w:sz w:val="22"/>
          <w:szCs w:val="22"/>
        </w:rPr>
        <w:t>aforementioned sum</w:t>
      </w:r>
      <w:proofErr w:type="gramEnd"/>
      <w:r w:rsidRPr="00EB7504">
        <w:rPr>
          <w:sz w:val="22"/>
          <w:szCs w:val="22"/>
        </w:rPr>
        <w:t xml:space="preserve"> and conditions. If the permanent guarantee lasts for less than four months into the future, the System Operator has the right to terminate the Agreement unilaterally.</w:t>
      </w:r>
    </w:p>
    <w:p w14:paraId="5FDC5705" w14:textId="6212A1EE" w:rsidR="00FC39DA" w:rsidRPr="00EB7504" w:rsidRDefault="00FC39DA">
      <w:pPr>
        <w:pStyle w:val="Heading2"/>
        <w:numPr>
          <w:ilvl w:val="1"/>
          <w:numId w:val="9"/>
        </w:numPr>
        <w:spacing w:after="120"/>
        <w:ind w:left="340"/>
        <w:rPr>
          <w:sz w:val="22"/>
          <w:szCs w:val="22"/>
        </w:rPr>
      </w:pPr>
      <w:r w:rsidRPr="00EB7504">
        <w:rPr>
          <w:sz w:val="22"/>
          <w:szCs w:val="22"/>
        </w:rPr>
        <w:lastRenderedPageBreak/>
        <w:t xml:space="preserve">By signing the Agreement, the </w:t>
      </w:r>
      <w:r w:rsidR="00EB7504">
        <w:rPr>
          <w:sz w:val="22"/>
          <w:szCs w:val="22"/>
        </w:rPr>
        <w:t>Balance Responsible Party</w:t>
      </w:r>
      <w:r w:rsidRPr="00EB7504">
        <w:rPr>
          <w:sz w:val="22"/>
          <w:szCs w:val="22"/>
        </w:rPr>
        <w:t xml:space="preserve"> confirms that it has had sufficient opportunity to review the Agreement, including the Annexes, and has reviewed and understood them.</w:t>
      </w:r>
    </w:p>
    <w:p w14:paraId="230343CB" w14:textId="77777777" w:rsidR="00FC39DA" w:rsidRPr="00EB7504" w:rsidRDefault="00FC39DA">
      <w:pPr>
        <w:spacing w:before="120" w:after="120"/>
        <w:jc w:val="both"/>
        <w:rPr>
          <w:sz w:val="22"/>
          <w:szCs w:val="22"/>
          <w:lang w:val="en-GB"/>
        </w:rPr>
      </w:pPr>
    </w:p>
    <w:p w14:paraId="4F4C8894" w14:textId="77777777" w:rsidR="00FC39DA" w:rsidRPr="00EB7504" w:rsidRDefault="00FC39DA">
      <w:pPr>
        <w:pStyle w:val="Heading1"/>
        <w:numPr>
          <w:ilvl w:val="0"/>
          <w:numId w:val="9"/>
        </w:numPr>
        <w:spacing w:before="120" w:after="120"/>
        <w:jc w:val="both"/>
        <w:rPr>
          <w:sz w:val="22"/>
          <w:szCs w:val="22"/>
          <w:lang w:val="en-GB"/>
        </w:rPr>
      </w:pPr>
      <w:bookmarkStart w:id="0" w:name="_Ref169576941"/>
      <w:r w:rsidRPr="00EB7504">
        <w:rPr>
          <w:sz w:val="22"/>
          <w:szCs w:val="22"/>
          <w:lang w:val="en-GB"/>
        </w:rPr>
        <w:t>Annexes to the Agreement</w:t>
      </w:r>
      <w:bookmarkEnd w:id="0"/>
    </w:p>
    <w:p w14:paraId="46207AB2" w14:textId="77777777" w:rsidR="00FC39DA" w:rsidRPr="00EB7504" w:rsidRDefault="00FC39DA">
      <w:pPr>
        <w:spacing w:before="120" w:after="120"/>
        <w:jc w:val="both"/>
        <w:rPr>
          <w:sz w:val="22"/>
          <w:szCs w:val="22"/>
          <w:lang w:val="en-GB"/>
        </w:rPr>
      </w:pPr>
      <w:r w:rsidRPr="00EB7504">
        <w:rPr>
          <w:sz w:val="22"/>
          <w:szCs w:val="22"/>
          <w:lang w:val="en-GB"/>
        </w:rPr>
        <w:t>4.1</w:t>
      </w:r>
      <w:r w:rsidR="00BE5BBE" w:rsidRPr="00EB7504">
        <w:rPr>
          <w:sz w:val="22"/>
          <w:szCs w:val="22"/>
          <w:lang w:val="en-GB"/>
        </w:rPr>
        <w:t>. At</w:t>
      </w:r>
      <w:r w:rsidRPr="00EB7504">
        <w:rPr>
          <w:sz w:val="22"/>
          <w:szCs w:val="22"/>
          <w:lang w:val="en-GB"/>
        </w:rPr>
        <w:t xml:space="preserve"> the signing of the contract, the following annexes are an integral part of the Agreement:</w:t>
      </w:r>
    </w:p>
    <w:p w14:paraId="670FCBD7" w14:textId="1160268B" w:rsidR="00FC39DA" w:rsidRPr="00EB7504" w:rsidRDefault="00FC39DA">
      <w:pPr>
        <w:ind w:left="357"/>
        <w:jc w:val="both"/>
        <w:rPr>
          <w:sz w:val="22"/>
          <w:szCs w:val="22"/>
          <w:lang w:val="en-GB"/>
        </w:rPr>
      </w:pPr>
      <w:r w:rsidRPr="00EB7504">
        <w:rPr>
          <w:sz w:val="22"/>
          <w:szCs w:val="22"/>
          <w:lang w:val="en-GB"/>
        </w:rPr>
        <w:t>Annex 1:</w:t>
      </w:r>
      <w:r w:rsidRPr="00EB7504">
        <w:rPr>
          <w:sz w:val="22"/>
          <w:szCs w:val="22"/>
          <w:lang w:val="en-GB"/>
        </w:rPr>
        <w:tab/>
        <w:t xml:space="preserve">The </w:t>
      </w:r>
      <w:r w:rsidR="00EB7504">
        <w:rPr>
          <w:sz w:val="22"/>
          <w:szCs w:val="22"/>
          <w:lang w:val="en-GB"/>
        </w:rPr>
        <w:t>Balance Responsible Party</w:t>
      </w:r>
      <w:r w:rsidRPr="00EB7504">
        <w:rPr>
          <w:sz w:val="22"/>
          <w:szCs w:val="22"/>
          <w:lang w:val="en-GB"/>
        </w:rPr>
        <w:t>'s Balance Area</w:t>
      </w:r>
    </w:p>
    <w:p w14:paraId="640BD464" w14:textId="77777777" w:rsidR="00FC39DA" w:rsidRPr="00EB7504" w:rsidRDefault="00FC39DA">
      <w:pPr>
        <w:ind w:left="357"/>
        <w:jc w:val="both"/>
        <w:rPr>
          <w:sz w:val="22"/>
          <w:szCs w:val="22"/>
          <w:lang w:val="en-GB"/>
        </w:rPr>
      </w:pPr>
      <w:r w:rsidRPr="00EB7504">
        <w:rPr>
          <w:sz w:val="22"/>
          <w:szCs w:val="22"/>
          <w:lang w:val="en-GB"/>
        </w:rPr>
        <w:t>Annex 2:</w:t>
      </w:r>
      <w:r w:rsidRPr="00EB7504">
        <w:rPr>
          <w:sz w:val="22"/>
          <w:szCs w:val="22"/>
          <w:lang w:val="en-GB"/>
        </w:rPr>
        <w:tab/>
        <w:t>Data exchange forms</w:t>
      </w:r>
    </w:p>
    <w:p w14:paraId="34DFDFA3" w14:textId="77777777" w:rsidR="00FC39DA" w:rsidRPr="00EB7504" w:rsidRDefault="00FC39DA">
      <w:pPr>
        <w:spacing w:before="120" w:after="120"/>
        <w:ind w:left="357"/>
        <w:jc w:val="both"/>
        <w:rPr>
          <w:sz w:val="22"/>
          <w:szCs w:val="22"/>
          <w:lang w:val="en-GB"/>
        </w:rPr>
      </w:pPr>
    </w:p>
    <w:p w14:paraId="0B934BDB" w14:textId="77777777" w:rsidR="00FC39DA" w:rsidRPr="00EB7504" w:rsidRDefault="00FC39DA">
      <w:pPr>
        <w:pStyle w:val="Heading1"/>
        <w:numPr>
          <w:ilvl w:val="0"/>
          <w:numId w:val="9"/>
        </w:numPr>
        <w:spacing w:before="120" w:after="120"/>
        <w:jc w:val="both"/>
        <w:rPr>
          <w:sz w:val="22"/>
          <w:szCs w:val="22"/>
          <w:lang w:val="en-GB"/>
        </w:rPr>
      </w:pPr>
      <w:r w:rsidRPr="00EB7504">
        <w:rPr>
          <w:sz w:val="22"/>
          <w:szCs w:val="22"/>
          <w:lang w:val="en-GB"/>
        </w:rPr>
        <w:t>The contact details and contact people of the Parties</w:t>
      </w:r>
    </w:p>
    <w:p w14:paraId="2CD1C9A8" w14:textId="77777777" w:rsidR="00FC39DA" w:rsidRPr="00EB7504" w:rsidRDefault="00FC39DA">
      <w:pPr>
        <w:pStyle w:val="Heading2"/>
        <w:numPr>
          <w:ilvl w:val="1"/>
          <w:numId w:val="7"/>
        </w:numPr>
        <w:spacing w:after="120"/>
        <w:ind w:hanging="644"/>
        <w:rPr>
          <w:sz w:val="22"/>
          <w:szCs w:val="22"/>
        </w:rPr>
      </w:pPr>
      <w:bookmarkStart w:id="1" w:name="_Ref169577181"/>
      <w:r w:rsidRPr="00EB7504">
        <w:rPr>
          <w:sz w:val="22"/>
          <w:szCs w:val="22"/>
        </w:rPr>
        <w:t>Within no more than three (3) working days of the signing of the contract, each Party shall notify the other Party in writing of their contact details and contact person with phone and fax numbers and email address to be used to resolve issues arising from the contract and for required communications.</w:t>
      </w:r>
      <w:bookmarkEnd w:id="1"/>
      <w:r w:rsidRPr="00EB7504">
        <w:rPr>
          <w:sz w:val="22"/>
          <w:szCs w:val="22"/>
        </w:rPr>
        <w:t xml:space="preserve"> </w:t>
      </w:r>
    </w:p>
    <w:p w14:paraId="0731F53F" w14:textId="77777777" w:rsidR="00FC39DA" w:rsidRPr="00EB7504" w:rsidRDefault="00FC39DA">
      <w:pPr>
        <w:pStyle w:val="Heading2"/>
        <w:numPr>
          <w:ilvl w:val="1"/>
          <w:numId w:val="7"/>
        </w:numPr>
        <w:spacing w:after="120"/>
        <w:ind w:hanging="644"/>
        <w:rPr>
          <w:sz w:val="22"/>
          <w:szCs w:val="22"/>
        </w:rPr>
      </w:pPr>
      <w:r w:rsidRPr="00EB7504">
        <w:rPr>
          <w:sz w:val="22"/>
          <w:szCs w:val="22"/>
        </w:rPr>
        <w:t>Each Party must immediately inform the other party of any changes to the contact details or contact person noted in point 5.1 of this Agreement.</w:t>
      </w:r>
    </w:p>
    <w:p w14:paraId="229A22BE" w14:textId="77777777" w:rsidR="00FC39DA" w:rsidRPr="00EB7504" w:rsidRDefault="00FC39DA">
      <w:pPr>
        <w:rPr>
          <w:sz w:val="22"/>
          <w:szCs w:val="22"/>
          <w:lang w:val="en-GB"/>
        </w:rPr>
      </w:pPr>
    </w:p>
    <w:p w14:paraId="0E3396FD" w14:textId="77777777" w:rsidR="00FC39DA" w:rsidRPr="00EB7504" w:rsidRDefault="00FC39DA">
      <w:pPr>
        <w:rPr>
          <w:sz w:val="22"/>
          <w:szCs w:val="22"/>
          <w:lang w:val="en-GB"/>
        </w:rPr>
      </w:pPr>
    </w:p>
    <w:p w14:paraId="6C3411B8" w14:textId="77777777" w:rsidR="00FC39DA" w:rsidRPr="00EB7504" w:rsidRDefault="00FC39DA">
      <w:pPr>
        <w:pStyle w:val="Heading1"/>
        <w:numPr>
          <w:ilvl w:val="0"/>
          <w:numId w:val="7"/>
        </w:numPr>
        <w:spacing w:before="120" w:after="120"/>
        <w:jc w:val="both"/>
        <w:rPr>
          <w:sz w:val="22"/>
          <w:szCs w:val="22"/>
          <w:lang w:val="en-GB"/>
        </w:rPr>
      </w:pPr>
      <w:r w:rsidRPr="00EB7504">
        <w:rPr>
          <w:sz w:val="22"/>
          <w:szCs w:val="22"/>
          <w:lang w:val="en-GB"/>
        </w:rPr>
        <w:t>Signatures of the Parties:</w:t>
      </w:r>
    </w:p>
    <w:p w14:paraId="2498A752" w14:textId="77777777" w:rsidR="00FC39DA" w:rsidRPr="00EB7504" w:rsidRDefault="00FC39DA">
      <w:pPr>
        <w:spacing w:before="120" w:after="120"/>
        <w:jc w:val="both"/>
        <w:rPr>
          <w:sz w:val="22"/>
          <w:szCs w:val="22"/>
          <w:lang w:val="en-GB"/>
        </w:rPr>
      </w:pPr>
    </w:p>
    <w:p w14:paraId="0F57C8C9" w14:textId="77777777" w:rsidR="00FC39DA" w:rsidRPr="00EB7504" w:rsidRDefault="00FC39DA">
      <w:pPr>
        <w:spacing w:before="120" w:after="120"/>
        <w:jc w:val="both"/>
        <w:rPr>
          <w:sz w:val="22"/>
          <w:szCs w:val="22"/>
          <w:lang w:val="en-GB"/>
        </w:rPr>
      </w:pPr>
    </w:p>
    <w:p w14:paraId="35BE9240" w14:textId="77777777" w:rsidR="00FC39DA" w:rsidRPr="00EB7504" w:rsidRDefault="00FC39DA">
      <w:pPr>
        <w:spacing w:before="120" w:after="120"/>
        <w:jc w:val="both"/>
        <w:rPr>
          <w:b/>
          <w:sz w:val="22"/>
          <w:szCs w:val="22"/>
          <w:lang w:val="en-GB"/>
        </w:rPr>
      </w:pPr>
    </w:p>
    <w:p w14:paraId="6AFD62CF" w14:textId="6AB1063B" w:rsidR="00FC39DA" w:rsidRPr="00EB7504" w:rsidRDefault="00FC39DA">
      <w:pPr>
        <w:rPr>
          <w:b/>
          <w:bCs/>
          <w:sz w:val="22"/>
          <w:szCs w:val="22"/>
          <w:lang w:val="en-GB"/>
        </w:rPr>
      </w:pPr>
      <w:r w:rsidRPr="00EB7504">
        <w:rPr>
          <w:b/>
          <w:bCs/>
          <w:sz w:val="22"/>
          <w:szCs w:val="22"/>
          <w:lang w:val="en-GB"/>
        </w:rPr>
        <w:t>System Operator</w:t>
      </w:r>
      <w:r w:rsidRPr="00EB7504">
        <w:rPr>
          <w:b/>
          <w:bCs/>
          <w:sz w:val="22"/>
          <w:szCs w:val="22"/>
          <w:lang w:val="en-GB"/>
        </w:rPr>
        <w:tab/>
      </w:r>
      <w:r w:rsidRPr="00EB7504">
        <w:rPr>
          <w:b/>
          <w:bCs/>
          <w:sz w:val="22"/>
          <w:szCs w:val="22"/>
          <w:lang w:val="en-GB"/>
        </w:rPr>
        <w:tab/>
      </w:r>
      <w:r w:rsidRPr="00EB7504">
        <w:rPr>
          <w:b/>
          <w:bCs/>
          <w:sz w:val="22"/>
          <w:szCs w:val="22"/>
          <w:lang w:val="en-GB"/>
        </w:rPr>
        <w:tab/>
      </w:r>
      <w:r w:rsidRPr="00EB7504">
        <w:rPr>
          <w:b/>
          <w:bCs/>
          <w:sz w:val="22"/>
          <w:szCs w:val="22"/>
          <w:lang w:val="en-GB"/>
        </w:rPr>
        <w:tab/>
      </w:r>
      <w:r w:rsidRPr="00EB7504">
        <w:rPr>
          <w:b/>
          <w:bCs/>
          <w:sz w:val="22"/>
          <w:szCs w:val="22"/>
          <w:lang w:val="en-GB"/>
        </w:rPr>
        <w:tab/>
      </w:r>
      <w:r w:rsidR="00EB7504">
        <w:rPr>
          <w:b/>
          <w:bCs/>
          <w:sz w:val="22"/>
          <w:szCs w:val="22"/>
          <w:lang w:val="en-GB"/>
        </w:rPr>
        <w:t>Balance Responsible Party</w:t>
      </w:r>
    </w:p>
    <w:p w14:paraId="15C49CEF" w14:textId="77777777" w:rsidR="00FC39DA" w:rsidRPr="00EB7504" w:rsidRDefault="00FC39DA">
      <w:pPr>
        <w:tabs>
          <w:tab w:val="left" w:pos="567"/>
        </w:tabs>
        <w:jc w:val="both"/>
        <w:rPr>
          <w:sz w:val="22"/>
          <w:szCs w:val="22"/>
          <w:lang w:val="en-GB"/>
        </w:rPr>
      </w:pPr>
      <w:r w:rsidRPr="00EB7504">
        <w:rPr>
          <w:sz w:val="22"/>
          <w:szCs w:val="22"/>
          <w:lang w:val="en-GB"/>
        </w:rPr>
        <w:tab/>
      </w:r>
    </w:p>
    <w:p w14:paraId="32C52882" w14:textId="77777777" w:rsidR="00FC39DA" w:rsidRPr="00EB7504" w:rsidRDefault="00FC39DA">
      <w:pPr>
        <w:rPr>
          <w:bCs/>
          <w:sz w:val="22"/>
          <w:szCs w:val="22"/>
          <w:lang w:val="en-GB"/>
        </w:rPr>
      </w:pPr>
    </w:p>
    <w:tbl>
      <w:tblPr>
        <w:tblW w:w="0" w:type="auto"/>
        <w:jc w:val="center"/>
        <w:tblLook w:val="00A0" w:firstRow="1" w:lastRow="0" w:firstColumn="1" w:lastColumn="0" w:noHBand="0" w:noVBand="0"/>
      </w:tblPr>
      <w:tblGrid>
        <w:gridCol w:w="4960"/>
        <w:gridCol w:w="3588"/>
      </w:tblGrid>
      <w:tr w:rsidR="004F75F2" w:rsidRPr="00EB7504" w14:paraId="7639C003" w14:textId="77777777" w:rsidTr="004F75F2">
        <w:trPr>
          <w:jc w:val="center"/>
        </w:trPr>
        <w:tc>
          <w:tcPr>
            <w:tcW w:w="4972" w:type="dxa"/>
          </w:tcPr>
          <w:p w14:paraId="50AFD918" w14:textId="77777777" w:rsidR="004F75F2" w:rsidRPr="00EB7504" w:rsidRDefault="004F75F2" w:rsidP="004F75F2">
            <w:r w:rsidRPr="00EB7504">
              <w:t>/signed digitally/</w:t>
            </w:r>
            <w:r w:rsidRPr="00EB7504">
              <w:tab/>
            </w:r>
          </w:p>
        </w:tc>
        <w:tc>
          <w:tcPr>
            <w:tcW w:w="3596" w:type="dxa"/>
          </w:tcPr>
          <w:p w14:paraId="05284DB5" w14:textId="77777777" w:rsidR="004F75F2" w:rsidRPr="00EB7504" w:rsidRDefault="004F75F2" w:rsidP="004F75F2">
            <w:r w:rsidRPr="00EB7504">
              <w:t>/ signed digitally/</w:t>
            </w:r>
          </w:p>
        </w:tc>
      </w:tr>
      <w:tr w:rsidR="004F75F2" w:rsidRPr="00EB7504" w14:paraId="496D109C" w14:textId="77777777" w:rsidTr="004F75F2">
        <w:trPr>
          <w:jc w:val="center"/>
        </w:trPr>
        <w:tc>
          <w:tcPr>
            <w:tcW w:w="4972" w:type="dxa"/>
          </w:tcPr>
          <w:p w14:paraId="20883A30" w14:textId="77777777" w:rsidR="004F75F2" w:rsidRPr="00EB7504" w:rsidRDefault="004F75F2" w:rsidP="008A6155">
            <w:r w:rsidRPr="00EB7504">
              <w:t xml:space="preserve">Taavi Veskimägi </w:t>
            </w:r>
          </w:p>
          <w:p w14:paraId="252D0A19" w14:textId="77777777" w:rsidR="004F75F2" w:rsidRPr="00EB7504" w:rsidRDefault="004F75F2" w:rsidP="008A6155"/>
        </w:tc>
        <w:tc>
          <w:tcPr>
            <w:tcW w:w="3596" w:type="dxa"/>
          </w:tcPr>
          <w:p w14:paraId="4BE91F92" w14:textId="5B6261F7" w:rsidR="004F75F2" w:rsidRPr="00EB7504" w:rsidRDefault="00EB7504" w:rsidP="008A6155">
            <w:r w:rsidRPr="009E4D70">
              <w:rPr>
                <w:sz w:val="22"/>
                <w:szCs w:val="22"/>
                <w:highlight w:val="yellow"/>
              </w:rPr>
              <w:t>…..</w:t>
            </w:r>
          </w:p>
        </w:tc>
      </w:tr>
    </w:tbl>
    <w:p w14:paraId="78231213" w14:textId="1DEBEC99" w:rsidR="00FC39DA" w:rsidRPr="00EB7504" w:rsidRDefault="00FC39DA">
      <w:pPr>
        <w:pStyle w:val="Heading1"/>
        <w:pageBreakBefore/>
        <w:numPr>
          <w:ilvl w:val="0"/>
          <w:numId w:val="0"/>
        </w:numPr>
        <w:spacing w:before="120" w:after="120"/>
        <w:jc w:val="right"/>
        <w:rPr>
          <w:sz w:val="22"/>
          <w:szCs w:val="22"/>
          <w:lang w:val="en-GB"/>
        </w:rPr>
      </w:pPr>
      <w:r w:rsidRPr="00EB7504">
        <w:rPr>
          <w:sz w:val="22"/>
          <w:szCs w:val="22"/>
          <w:lang w:val="en-GB"/>
        </w:rPr>
        <w:lastRenderedPageBreak/>
        <w:t xml:space="preserve">Annex 1    The </w:t>
      </w:r>
      <w:r w:rsidR="00EB7504">
        <w:rPr>
          <w:sz w:val="22"/>
          <w:szCs w:val="22"/>
          <w:lang w:val="en-GB"/>
        </w:rPr>
        <w:t>Balance Responsible Party</w:t>
      </w:r>
      <w:r w:rsidRPr="00EB7504">
        <w:rPr>
          <w:sz w:val="22"/>
          <w:szCs w:val="22"/>
          <w:lang w:val="en-GB"/>
        </w:rPr>
        <w:t>'s Balance Area</w:t>
      </w:r>
    </w:p>
    <w:p w14:paraId="74796832" w14:textId="77777777" w:rsidR="00FC39DA" w:rsidRPr="00EB7504" w:rsidRDefault="00FC39DA">
      <w:pPr>
        <w:spacing w:before="120" w:after="120"/>
        <w:rPr>
          <w:sz w:val="22"/>
          <w:szCs w:val="22"/>
          <w:lang w:val="en-GB"/>
        </w:rPr>
      </w:pPr>
    </w:p>
    <w:p w14:paraId="709F4BC2" w14:textId="043B9B6C" w:rsidR="00CB5012" w:rsidRPr="00EB7504" w:rsidRDefault="00CB5012" w:rsidP="00CB5012">
      <w:pPr>
        <w:pStyle w:val="ListParagraph"/>
        <w:numPr>
          <w:ilvl w:val="0"/>
          <w:numId w:val="4"/>
        </w:numPr>
        <w:spacing w:before="120" w:after="120"/>
        <w:jc w:val="both"/>
        <w:rPr>
          <w:sz w:val="22"/>
          <w:szCs w:val="22"/>
          <w:lang w:val="en-GB"/>
        </w:rPr>
      </w:pPr>
      <w:r w:rsidRPr="00EB7504">
        <w:rPr>
          <w:sz w:val="22"/>
          <w:szCs w:val="22"/>
          <w:lang w:val="en-GB"/>
        </w:rPr>
        <w:t xml:space="preserve">The Balance Area of the </w:t>
      </w:r>
      <w:r w:rsidR="00EB7504">
        <w:rPr>
          <w:sz w:val="22"/>
          <w:szCs w:val="22"/>
          <w:lang w:val="en-GB"/>
        </w:rPr>
        <w:t>Balance Responsible Party</w:t>
      </w:r>
      <w:r w:rsidRPr="00EB7504">
        <w:rPr>
          <w:sz w:val="22"/>
          <w:szCs w:val="22"/>
          <w:lang w:val="en-GB"/>
        </w:rPr>
        <w:t xml:space="preserve"> is designated by the border metering points in the balance settlement of market participants located in the </w:t>
      </w:r>
      <w:r w:rsidR="00EB7504">
        <w:rPr>
          <w:sz w:val="22"/>
          <w:szCs w:val="22"/>
          <w:lang w:val="en-GB"/>
        </w:rPr>
        <w:t>Balance Responsible Party</w:t>
      </w:r>
      <w:r w:rsidRPr="00EB7504">
        <w:rPr>
          <w:sz w:val="22"/>
          <w:szCs w:val="22"/>
          <w:lang w:val="en-GB"/>
        </w:rPr>
        <w:t xml:space="preserve">’s Balance Area. </w:t>
      </w:r>
    </w:p>
    <w:p w14:paraId="2A2A4C96" w14:textId="382B9C41" w:rsidR="00FC39DA" w:rsidRPr="00EB7504" w:rsidRDefault="00FC39DA">
      <w:pPr>
        <w:numPr>
          <w:ilvl w:val="0"/>
          <w:numId w:val="4"/>
        </w:numPr>
        <w:jc w:val="both"/>
        <w:rPr>
          <w:sz w:val="22"/>
          <w:szCs w:val="22"/>
          <w:lang w:val="en-GB"/>
        </w:rPr>
      </w:pPr>
      <w:r w:rsidRPr="00EB7504">
        <w:rPr>
          <w:sz w:val="22"/>
          <w:szCs w:val="22"/>
          <w:lang w:val="en-GB"/>
        </w:rPr>
        <w:t xml:space="preserve">Total fixed supplies for the </w:t>
      </w:r>
      <w:r w:rsidR="00EB7504">
        <w:rPr>
          <w:sz w:val="22"/>
          <w:szCs w:val="22"/>
          <w:lang w:val="en-GB"/>
        </w:rPr>
        <w:t>Balance Responsible Party</w:t>
      </w:r>
      <w:r w:rsidRPr="00EB7504">
        <w:rPr>
          <w:sz w:val="22"/>
          <w:szCs w:val="22"/>
          <w:lang w:val="en-GB"/>
        </w:rPr>
        <w:t xml:space="preserve">’s balance area are calculated for each </w:t>
      </w:r>
      <w:r w:rsidR="004F75F2" w:rsidRPr="00EB7504">
        <w:rPr>
          <w:sz w:val="22"/>
          <w:szCs w:val="22"/>
          <w:lang w:val="en-GB"/>
        </w:rPr>
        <w:t>imbalance settlement</w:t>
      </w:r>
      <w:r w:rsidRPr="00EB7504">
        <w:rPr>
          <w:sz w:val="22"/>
          <w:szCs w:val="22"/>
          <w:lang w:val="en-GB"/>
        </w:rPr>
        <w:t xml:space="preserve"> period as the net sum of fixed supplies of electricity entering or leaving the balance area, with electricity leaving the balance area denoted with a "+" sign and electricity entering the balance area denoted with a "-" sign.</w:t>
      </w:r>
    </w:p>
    <w:p w14:paraId="33C8DAC1" w14:textId="0470A224" w:rsidR="00ED4721" w:rsidRPr="00EB7504" w:rsidRDefault="00ED4721">
      <w:pPr>
        <w:numPr>
          <w:ilvl w:val="0"/>
          <w:numId w:val="4"/>
        </w:numPr>
        <w:jc w:val="both"/>
        <w:rPr>
          <w:sz w:val="22"/>
          <w:szCs w:val="22"/>
          <w:lang w:val="en-GB"/>
        </w:rPr>
      </w:pPr>
      <w:r w:rsidRPr="00EB7504">
        <w:rPr>
          <w:sz w:val="22"/>
          <w:szCs w:val="22"/>
          <w:lang w:val="en-GB"/>
        </w:rPr>
        <w:t xml:space="preserve">Electricity produced in the </w:t>
      </w:r>
      <w:r w:rsidR="00EB7504">
        <w:rPr>
          <w:sz w:val="22"/>
          <w:szCs w:val="22"/>
          <w:lang w:val="en-GB"/>
        </w:rPr>
        <w:t>Balance Responsible Party</w:t>
      </w:r>
      <w:r w:rsidRPr="00EB7504">
        <w:rPr>
          <w:sz w:val="22"/>
          <w:szCs w:val="22"/>
          <w:lang w:val="en-GB"/>
        </w:rPr>
        <w:t xml:space="preserve">’s balance area is denoted with a "+" sign (in the distribution network </w:t>
      </w:r>
      <w:proofErr w:type="gramStart"/>
      <w:r w:rsidRPr="00EB7504">
        <w:rPr>
          <w:sz w:val="22"/>
          <w:szCs w:val="22"/>
          <w:lang w:val="en-GB"/>
        </w:rPr>
        <w:t>operators</w:t>
      </w:r>
      <w:proofErr w:type="gramEnd"/>
      <w:r w:rsidRPr="00EB7504">
        <w:rPr>
          <w:sz w:val="22"/>
          <w:szCs w:val="22"/>
          <w:lang w:val="en-GB"/>
        </w:rPr>
        <w:t xml:space="preserve"> measurement data as “Pin”) and electricity consumed in the </w:t>
      </w:r>
      <w:r w:rsidR="00EB7504">
        <w:rPr>
          <w:sz w:val="22"/>
          <w:szCs w:val="22"/>
          <w:lang w:val="en-GB"/>
        </w:rPr>
        <w:t>Balance Responsible Party</w:t>
      </w:r>
      <w:r w:rsidRPr="00EB7504">
        <w:rPr>
          <w:sz w:val="22"/>
          <w:szCs w:val="22"/>
          <w:lang w:val="en-GB"/>
        </w:rPr>
        <w:t>’s balance area is denoted with a "-" sign (in the distribution network operators measurement data as “Pout”).</w:t>
      </w:r>
    </w:p>
    <w:p w14:paraId="3B7CE3CC" w14:textId="0CD59EFA" w:rsidR="00ED4721" w:rsidRPr="00EB7504" w:rsidRDefault="00ED4721">
      <w:pPr>
        <w:numPr>
          <w:ilvl w:val="0"/>
          <w:numId w:val="4"/>
        </w:numPr>
        <w:jc w:val="both"/>
        <w:rPr>
          <w:sz w:val="22"/>
          <w:szCs w:val="22"/>
          <w:lang w:val="en-GB"/>
        </w:rPr>
      </w:pPr>
      <w:r w:rsidRPr="00EB7504">
        <w:rPr>
          <w:sz w:val="22"/>
          <w:szCs w:val="22"/>
          <w:lang w:val="en-GB"/>
        </w:rPr>
        <w:t xml:space="preserve">The precondition for implementing changes in the </w:t>
      </w:r>
      <w:r w:rsidR="00EB7504">
        <w:rPr>
          <w:sz w:val="22"/>
          <w:szCs w:val="22"/>
          <w:lang w:val="en-GB"/>
        </w:rPr>
        <w:t>Balance Responsible Party</w:t>
      </w:r>
      <w:r w:rsidRPr="00EB7504">
        <w:rPr>
          <w:sz w:val="22"/>
          <w:szCs w:val="22"/>
          <w:lang w:val="en-GB"/>
        </w:rPr>
        <w:t xml:space="preserve">’s balance area’s open supply chain is that the </w:t>
      </w:r>
      <w:r w:rsidR="00EB7504">
        <w:rPr>
          <w:sz w:val="22"/>
          <w:szCs w:val="22"/>
          <w:lang w:val="en-GB"/>
        </w:rPr>
        <w:t>Balance Responsible Party</w:t>
      </w:r>
      <w:r w:rsidR="004809F9" w:rsidRPr="00EB7504">
        <w:rPr>
          <w:sz w:val="22"/>
          <w:szCs w:val="22"/>
          <w:lang w:val="en-GB"/>
        </w:rPr>
        <w:t xml:space="preserve"> has submitted the application according to legislation and the Standard Terms</w:t>
      </w:r>
      <w:r w:rsidR="004F75F2" w:rsidRPr="00EB7504">
        <w:rPr>
          <w:sz w:val="22"/>
          <w:szCs w:val="22"/>
          <w:lang w:val="en-GB"/>
        </w:rPr>
        <w:t xml:space="preserve"> and Conditions</w:t>
      </w:r>
      <w:r w:rsidR="004809F9" w:rsidRPr="00EB7504">
        <w:rPr>
          <w:sz w:val="22"/>
          <w:szCs w:val="22"/>
          <w:lang w:val="en-GB"/>
        </w:rPr>
        <w:t>.</w:t>
      </w:r>
    </w:p>
    <w:p w14:paraId="413BE01A" w14:textId="77777777" w:rsidR="00ED4721" w:rsidRPr="00EB7504" w:rsidRDefault="00ED4721" w:rsidP="00ED4721">
      <w:pPr>
        <w:pStyle w:val="ListParagraph"/>
        <w:numPr>
          <w:ilvl w:val="0"/>
          <w:numId w:val="4"/>
        </w:numPr>
        <w:spacing w:before="120" w:after="120"/>
        <w:jc w:val="both"/>
        <w:rPr>
          <w:sz w:val="22"/>
          <w:szCs w:val="22"/>
          <w:lang w:val="en-GB"/>
        </w:rPr>
      </w:pPr>
      <w:r w:rsidRPr="00EB7504">
        <w:rPr>
          <w:sz w:val="22"/>
          <w:szCs w:val="22"/>
          <w:lang w:val="en-GB"/>
        </w:rPr>
        <w:t>The data of the Balance Area is managed in the Data Warehouse.</w:t>
      </w:r>
    </w:p>
    <w:p w14:paraId="31111ADD" w14:textId="77777777" w:rsidR="00ED4721" w:rsidRPr="00EB7504" w:rsidRDefault="00ED4721" w:rsidP="00ED4721">
      <w:pPr>
        <w:ind w:left="360"/>
        <w:jc w:val="both"/>
        <w:rPr>
          <w:sz w:val="22"/>
          <w:szCs w:val="22"/>
          <w:lang w:val="en-GB"/>
        </w:rPr>
      </w:pPr>
    </w:p>
    <w:p w14:paraId="78406CD2" w14:textId="77777777" w:rsidR="00FC39DA" w:rsidRPr="00EB7504" w:rsidRDefault="00FC39DA">
      <w:pPr>
        <w:ind w:left="360"/>
        <w:jc w:val="both"/>
        <w:rPr>
          <w:sz w:val="22"/>
          <w:szCs w:val="22"/>
          <w:lang w:val="en-GB"/>
        </w:rPr>
      </w:pPr>
    </w:p>
    <w:p w14:paraId="5A9B9AA4" w14:textId="77777777" w:rsidR="00FC39DA" w:rsidRPr="00EB7504" w:rsidRDefault="00FC39DA">
      <w:pPr>
        <w:pStyle w:val="ListParagraph"/>
        <w:rPr>
          <w:sz w:val="22"/>
          <w:szCs w:val="22"/>
          <w:lang w:val="en-GB"/>
        </w:rPr>
      </w:pPr>
      <w:bookmarkStart w:id="2" w:name="OLE_LINK3"/>
      <w:bookmarkStart w:id="3" w:name="OLE_LINK4"/>
    </w:p>
    <w:p w14:paraId="1E886437" w14:textId="77777777" w:rsidR="00FC39DA" w:rsidRPr="00EB7504" w:rsidRDefault="00FC39DA">
      <w:pPr>
        <w:pStyle w:val="ListParagraph"/>
        <w:spacing w:before="120" w:after="120"/>
        <w:ind w:left="360"/>
        <w:jc w:val="both"/>
        <w:rPr>
          <w:sz w:val="22"/>
          <w:szCs w:val="22"/>
          <w:lang w:val="en-GB"/>
        </w:rPr>
      </w:pPr>
    </w:p>
    <w:p w14:paraId="71795543" w14:textId="77777777" w:rsidR="00FC39DA" w:rsidRPr="00EB7504" w:rsidRDefault="00FC39DA">
      <w:pPr>
        <w:pStyle w:val="ListParagraph"/>
        <w:spacing w:before="120" w:after="120"/>
        <w:ind w:left="0"/>
        <w:jc w:val="both"/>
        <w:rPr>
          <w:color w:val="000000"/>
          <w:sz w:val="22"/>
          <w:szCs w:val="22"/>
          <w:lang w:val="en-GB"/>
        </w:rPr>
      </w:pPr>
    </w:p>
    <w:bookmarkEnd w:id="2"/>
    <w:bookmarkEnd w:id="3"/>
    <w:p w14:paraId="56C8EFE3" w14:textId="77777777" w:rsidR="00FC39DA" w:rsidRPr="00EB7504" w:rsidRDefault="00FC39DA">
      <w:pPr>
        <w:pStyle w:val="ListParagraph"/>
        <w:spacing w:before="120" w:after="120"/>
        <w:ind w:left="0"/>
        <w:jc w:val="both"/>
        <w:rPr>
          <w:sz w:val="22"/>
          <w:szCs w:val="22"/>
          <w:lang w:val="en-GB"/>
        </w:rPr>
      </w:pPr>
    </w:p>
    <w:p w14:paraId="75A7BDBD" w14:textId="77777777" w:rsidR="00FC39DA" w:rsidRPr="00EB7504" w:rsidRDefault="00FC39DA">
      <w:pPr>
        <w:pStyle w:val="Heading1"/>
        <w:numPr>
          <w:ilvl w:val="0"/>
          <w:numId w:val="4"/>
        </w:numPr>
        <w:spacing w:before="120" w:after="120"/>
        <w:jc w:val="both"/>
        <w:rPr>
          <w:sz w:val="22"/>
          <w:szCs w:val="22"/>
          <w:lang w:val="en-GB"/>
        </w:rPr>
      </w:pPr>
      <w:r w:rsidRPr="00EB7504">
        <w:rPr>
          <w:sz w:val="22"/>
          <w:szCs w:val="22"/>
          <w:lang w:val="en-GB"/>
        </w:rPr>
        <w:t>Signatures of the Parties:</w:t>
      </w:r>
    </w:p>
    <w:p w14:paraId="3F26F98A" w14:textId="77777777" w:rsidR="00FC39DA" w:rsidRPr="00EB7504" w:rsidRDefault="00FC39DA">
      <w:pPr>
        <w:spacing w:before="120" w:after="120"/>
        <w:jc w:val="both"/>
        <w:rPr>
          <w:b/>
          <w:sz w:val="22"/>
          <w:szCs w:val="22"/>
          <w:lang w:val="en-GB"/>
        </w:rPr>
      </w:pPr>
    </w:p>
    <w:p w14:paraId="554002F7" w14:textId="77777777" w:rsidR="00C47CE0" w:rsidRPr="00EB7504" w:rsidRDefault="00C47CE0">
      <w:pPr>
        <w:spacing w:before="120" w:after="120"/>
        <w:jc w:val="both"/>
        <w:rPr>
          <w:b/>
          <w:sz w:val="22"/>
          <w:szCs w:val="22"/>
          <w:lang w:val="en-GB"/>
        </w:rPr>
      </w:pPr>
    </w:p>
    <w:p w14:paraId="13BEA3C9" w14:textId="19E105CD" w:rsidR="00FC39DA" w:rsidRPr="00EB7504" w:rsidRDefault="00FC39DA">
      <w:pPr>
        <w:rPr>
          <w:b/>
          <w:bCs/>
          <w:sz w:val="22"/>
          <w:szCs w:val="22"/>
          <w:lang w:val="en-GB"/>
        </w:rPr>
      </w:pPr>
      <w:r w:rsidRPr="00EB7504">
        <w:rPr>
          <w:b/>
          <w:bCs/>
          <w:sz w:val="22"/>
          <w:szCs w:val="22"/>
          <w:lang w:val="en-GB"/>
        </w:rPr>
        <w:t>System Operator</w:t>
      </w:r>
      <w:r w:rsidRPr="00EB7504">
        <w:rPr>
          <w:b/>
          <w:bCs/>
          <w:sz w:val="22"/>
          <w:szCs w:val="22"/>
          <w:lang w:val="en-GB"/>
        </w:rPr>
        <w:tab/>
      </w:r>
      <w:r w:rsidRPr="00EB7504">
        <w:rPr>
          <w:b/>
          <w:bCs/>
          <w:sz w:val="22"/>
          <w:szCs w:val="22"/>
          <w:lang w:val="en-GB"/>
        </w:rPr>
        <w:tab/>
      </w:r>
      <w:r w:rsidRPr="00EB7504">
        <w:rPr>
          <w:b/>
          <w:bCs/>
          <w:sz w:val="22"/>
          <w:szCs w:val="22"/>
          <w:lang w:val="en-GB"/>
        </w:rPr>
        <w:tab/>
      </w:r>
      <w:r w:rsidRPr="00EB7504">
        <w:rPr>
          <w:b/>
          <w:bCs/>
          <w:sz w:val="22"/>
          <w:szCs w:val="22"/>
          <w:lang w:val="en-GB"/>
        </w:rPr>
        <w:tab/>
      </w:r>
      <w:r w:rsidRPr="00EB7504">
        <w:rPr>
          <w:b/>
          <w:bCs/>
          <w:sz w:val="22"/>
          <w:szCs w:val="22"/>
          <w:lang w:val="en-GB"/>
        </w:rPr>
        <w:tab/>
      </w:r>
      <w:r w:rsidR="00EB7504">
        <w:rPr>
          <w:b/>
          <w:bCs/>
          <w:sz w:val="22"/>
          <w:szCs w:val="22"/>
          <w:lang w:val="en-GB"/>
        </w:rPr>
        <w:t>Balance Responsible Party</w:t>
      </w:r>
    </w:p>
    <w:p w14:paraId="139E18A2" w14:textId="77777777" w:rsidR="00FC39DA" w:rsidRPr="00EB7504" w:rsidRDefault="00FC39DA">
      <w:pPr>
        <w:tabs>
          <w:tab w:val="left" w:pos="567"/>
        </w:tabs>
        <w:jc w:val="both"/>
        <w:rPr>
          <w:sz w:val="22"/>
          <w:szCs w:val="22"/>
          <w:lang w:val="en-GB"/>
        </w:rPr>
      </w:pPr>
      <w:r w:rsidRPr="00EB7504">
        <w:rPr>
          <w:sz w:val="22"/>
          <w:szCs w:val="22"/>
          <w:lang w:val="en-GB"/>
        </w:rPr>
        <w:tab/>
      </w:r>
    </w:p>
    <w:p w14:paraId="3323C4B0" w14:textId="77777777" w:rsidR="00172E86" w:rsidRPr="00EB7504" w:rsidRDefault="00172E86">
      <w:pPr>
        <w:tabs>
          <w:tab w:val="left" w:pos="567"/>
        </w:tabs>
        <w:jc w:val="both"/>
        <w:rPr>
          <w:sz w:val="22"/>
          <w:szCs w:val="22"/>
          <w:lang w:val="en-GB"/>
        </w:rPr>
      </w:pPr>
    </w:p>
    <w:tbl>
      <w:tblPr>
        <w:tblW w:w="0" w:type="auto"/>
        <w:jc w:val="center"/>
        <w:tblLook w:val="00A0" w:firstRow="1" w:lastRow="0" w:firstColumn="1" w:lastColumn="0" w:noHBand="0" w:noVBand="0"/>
      </w:tblPr>
      <w:tblGrid>
        <w:gridCol w:w="4960"/>
        <w:gridCol w:w="3588"/>
      </w:tblGrid>
      <w:tr w:rsidR="00C47CE0" w:rsidRPr="00EB7504" w14:paraId="4C761911" w14:textId="77777777" w:rsidTr="008A6155">
        <w:trPr>
          <w:jc w:val="center"/>
        </w:trPr>
        <w:tc>
          <w:tcPr>
            <w:tcW w:w="4972" w:type="dxa"/>
          </w:tcPr>
          <w:p w14:paraId="7E3D5280" w14:textId="77777777" w:rsidR="00C47CE0" w:rsidRPr="00EB7504" w:rsidRDefault="00C47CE0" w:rsidP="008A6155">
            <w:r w:rsidRPr="00EB7504">
              <w:t>/signed digitally/</w:t>
            </w:r>
            <w:r w:rsidRPr="00EB7504">
              <w:tab/>
            </w:r>
          </w:p>
        </w:tc>
        <w:tc>
          <w:tcPr>
            <w:tcW w:w="3596" w:type="dxa"/>
          </w:tcPr>
          <w:p w14:paraId="1192EC0B" w14:textId="77777777" w:rsidR="00C47CE0" w:rsidRPr="00EB7504" w:rsidRDefault="00C47CE0" w:rsidP="008A6155">
            <w:r w:rsidRPr="00EB7504">
              <w:t>/ signed digitally/</w:t>
            </w:r>
          </w:p>
        </w:tc>
      </w:tr>
      <w:tr w:rsidR="00C47CE0" w:rsidRPr="00EB7504" w14:paraId="1127E733" w14:textId="77777777" w:rsidTr="008A6155">
        <w:trPr>
          <w:jc w:val="center"/>
        </w:trPr>
        <w:tc>
          <w:tcPr>
            <w:tcW w:w="4972" w:type="dxa"/>
          </w:tcPr>
          <w:p w14:paraId="69AC8E6B" w14:textId="77777777" w:rsidR="00C47CE0" w:rsidRPr="00EB7504" w:rsidRDefault="00C47CE0" w:rsidP="008A6155">
            <w:r w:rsidRPr="00EB7504">
              <w:t xml:space="preserve">Taavi Veskimägi </w:t>
            </w:r>
          </w:p>
          <w:p w14:paraId="1BE098A2" w14:textId="77777777" w:rsidR="00C47CE0" w:rsidRPr="00EB7504" w:rsidRDefault="00C47CE0" w:rsidP="008A6155"/>
        </w:tc>
        <w:tc>
          <w:tcPr>
            <w:tcW w:w="3596" w:type="dxa"/>
          </w:tcPr>
          <w:p w14:paraId="124C38B3" w14:textId="23D225BF" w:rsidR="00C47CE0" w:rsidRPr="00EB7504" w:rsidRDefault="00EB7504" w:rsidP="008A6155">
            <w:pPr>
              <w:rPr>
                <w:bCs/>
              </w:rPr>
            </w:pPr>
            <w:r w:rsidRPr="009E4D70">
              <w:rPr>
                <w:sz w:val="22"/>
                <w:szCs w:val="22"/>
                <w:highlight w:val="yellow"/>
              </w:rPr>
              <w:t>…..</w:t>
            </w:r>
          </w:p>
        </w:tc>
      </w:tr>
    </w:tbl>
    <w:p w14:paraId="42DD3D89" w14:textId="77777777" w:rsidR="00FC39DA" w:rsidRPr="00EB7504" w:rsidRDefault="00FC39DA">
      <w:pPr>
        <w:rPr>
          <w:bCs/>
          <w:sz w:val="22"/>
          <w:szCs w:val="22"/>
          <w:lang w:val="en-GB"/>
        </w:rPr>
      </w:pPr>
    </w:p>
    <w:p w14:paraId="3C8E787A" w14:textId="77777777" w:rsidR="00FC39DA" w:rsidRPr="00EB7504" w:rsidRDefault="00FC39DA">
      <w:pPr>
        <w:spacing w:before="120" w:after="120"/>
        <w:jc w:val="both"/>
        <w:rPr>
          <w:b/>
          <w:bCs/>
          <w:sz w:val="22"/>
          <w:szCs w:val="22"/>
          <w:lang w:val="en-GB"/>
        </w:rPr>
      </w:pPr>
    </w:p>
    <w:p w14:paraId="40B0B3A4" w14:textId="77777777" w:rsidR="00FC39DA" w:rsidRPr="00EB7504" w:rsidRDefault="00FC39DA">
      <w:pPr>
        <w:pStyle w:val="Heading1"/>
        <w:pageBreakBefore/>
        <w:numPr>
          <w:ilvl w:val="0"/>
          <w:numId w:val="0"/>
        </w:numPr>
        <w:spacing w:before="0"/>
        <w:jc w:val="right"/>
        <w:rPr>
          <w:sz w:val="22"/>
          <w:szCs w:val="22"/>
          <w:lang w:val="en-GB"/>
        </w:rPr>
      </w:pPr>
      <w:r w:rsidRPr="00EB7504">
        <w:rPr>
          <w:sz w:val="22"/>
          <w:szCs w:val="22"/>
          <w:lang w:val="en-GB"/>
        </w:rPr>
        <w:lastRenderedPageBreak/>
        <w:t>Annex 2    Data exchange forms</w:t>
      </w:r>
    </w:p>
    <w:p w14:paraId="55E873D1" w14:textId="77777777" w:rsidR="00FC39DA" w:rsidRPr="00EB7504" w:rsidRDefault="00FC39DA">
      <w:pPr>
        <w:rPr>
          <w:sz w:val="22"/>
          <w:szCs w:val="22"/>
          <w:lang w:val="en-GB"/>
        </w:rPr>
      </w:pPr>
    </w:p>
    <w:p w14:paraId="51AFFF94" w14:textId="77777777" w:rsidR="00FC39DA" w:rsidRPr="00EB7504" w:rsidRDefault="00FC39DA">
      <w:pPr>
        <w:rPr>
          <w:sz w:val="22"/>
          <w:szCs w:val="22"/>
          <w:lang w:val="en-GB"/>
        </w:rPr>
      </w:pPr>
    </w:p>
    <w:p w14:paraId="67ECA4C2" w14:textId="77777777" w:rsidR="00FC39DA" w:rsidRPr="00EB7504" w:rsidRDefault="00FC39DA">
      <w:pPr>
        <w:numPr>
          <w:ilvl w:val="0"/>
          <w:numId w:val="6"/>
        </w:numPr>
        <w:spacing w:before="120" w:after="120"/>
        <w:jc w:val="both"/>
        <w:rPr>
          <w:sz w:val="22"/>
          <w:szCs w:val="22"/>
          <w:lang w:val="en-GB"/>
        </w:rPr>
      </w:pPr>
      <w:r w:rsidRPr="00EB7504">
        <w:rPr>
          <w:sz w:val="22"/>
          <w:szCs w:val="22"/>
          <w:lang w:val="en-GB"/>
        </w:rPr>
        <w:t>Data exchange</w:t>
      </w:r>
    </w:p>
    <w:p w14:paraId="7C799811" w14:textId="77777777" w:rsidR="00FC39DA" w:rsidRPr="00EB7504" w:rsidRDefault="00FC39DA">
      <w:pPr>
        <w:numPr>
          <w:ilvl w:val="1"/>
          <w:numId w:val="6"/>
        </w:numPr>
        <w:spacing w:before="120" w:after="120"/>
        <w:jc w:val="both"/>
        <w:rPr>
          <w:sz w:val="22"/>
          <w:szCs w:val="22"/>
          <w:lang w:val="en-GB"/>
        </w:rPr>
      </w:pPr>
      <w:r w:rsidRPr="00EB7504">
        <w:rPr>
          <w:sz w:val="22"/>
          <w:szCs w:val="22"/>
          <w:lang w:val="en-GB"/>
        </w:rPr>
        <w:t xml:space="preserve">Data exchange uses the </w:t>
      </w:r>
      <w:r w:rsidR="00CB5012" w:rsidRPr="00EB7504">
        <w:rPr>
          <w:sz w:val="22"/>
          <w:szCs w:val="22"/>
          <w:lang w:val="en-GB"/>
        </w:rPr>
        <w:t>market participants’ EIC codes.</w:t>
      </w:r>
    </w:p>
    <w:p w14:paraId="5FCBAC1A" w14:textId="77777777" w:rsidR="00F01DD9" w:rsidRPr="00EB7504" w:rsidRDefault="00FC39DA" w:rsidP="00F01DD9">
      <w:pPr>
        <w:numPr>
          <w:ilvl w:val="2"/>
          <w:numId w:val="6"/>
        </w:numPr>
        <w:spacing w:before="120" w:after="120"/>
        <w:ind w:left="1440"/>
        <w:jc w:val="both"/>
        <w:rPr>
          <w:sz w:val="22"/>
          <w:szCs w:val="22"/>
          <w:lang w:val="en-GB"/>
        </w:rPr>
      </w:pPr>
      <w:r w:rsidRPr="00EB7504">
        <w:rPr>
          <w:sz w:val="22"/>
          <w:szCs w:val="22"/>
          <w:lang w:val="en-GB"/>
        </w:rPr>
        <w:t>The System Operator’s EIC code is: 10X1001A1001A39W.</w:t>
      </w:r>
    </w:p>
    <w:p w14:paraId="239638E4" w14:textId="2C0C4C1F" w:rsidR="00FC39DA" w:rsidRPr="00EB7504" w:rsidRDefault="00FC39DA" w:rsidP="00F01DD9">
      <w:pPr>
        <w:numPr>
          <w:ilvl w:val="2"/>
          <w:numId w:val="6"/>
        </w:numPr>
        <w:spacing w:before="120" w:after="120"/>
        <w:ind w:left="1440"/>
        <w:jc w:val="both"/>
        <w:rPr>
          <w:sz w:val="22"/>
          <w:szCs w:val="22"/>
          <w:lang w:val="en-GB"/>
        </w:rPr>
      </w:pPr>
      <w:r w:rsidRPr="00EB7504">
        <w:rPr>
          <w:sz w:val="22"/>
          <w:szCs w:val="22"/>
          <w:lang w:val="en-GB"/>
        </w:rPr>
        <w:t xml:space="preserve">The </w:t>
      </w:r>
      <w:r w:rsidR="00EB7504">
        <w:rPr>
          <w:sz w:val="22"/>
          <w:szCs w:val="22"/>
          <w:lang w:val="en-GB"/>
        </w:rPr>
        <w:t>Balance Responsible Party</w:t>
      </w:r>
      <w:r w:rsidRPr="00EB7504">
        <w:rPr>
          <w:sz w:val="22"/>
          <w:szCs w:val="22"/>
          <w:lang w:val="en-GB"/>
        </w:rPr>
        <w:t>’s EIC code is:</w:t>
      </w:r>
      <w:r w:rsidR="00EB7504" w:rsidRPr="002A32BF">
        <w:rPr>
          <w:sz w:val="22"/>
          <w:szCs w:val="22"/>
        </w:rPr>
        <w:t xml:space="preserve"> </w:t>
      </w:r>
      <w:r w:rsidR="00EB7504" w:rsidRPr="009E4D70">
        <w:rPr>
          <w:sz w:val="22"/>
          <w:szCs w:val="22"/>
          <w:highlight w:val="yellow"/>
        </w:rPr>
        <w:t>…..</w:t>
      </w:r>
      <w:r w:rsidR="00EB7504" w:rsidRPr="002A32BF">
        <w:rPr>
          <w:sz w:val="22"/>
          <w:szCs w:val="22"/>
          <w:lang w:eastAsia="et-EE"/>
        </w:rPr>
        <w:t>.</w:t>
      </w:r>
    </w:p>
    <w:p w14:paraId="55113554" w14:textId="741A0CD4" w:rsidR="00FC39DA" w:rsidRPr="00EB7504" w:rsidRDefault="00FC39DA" w:rsidP="00CB5012">
      <w:pPr>
        <w:numPr>
          <w:ilvl w:val="1"/>
          <w:numId w:val="6"/>
        </w:numPr>
        <w:spacing w:before="120" w:after="120"/>
        <w:jc w:val="both"/>
        <w:rPr>
          <w:sz w:val="22"/>
          <w:szCs w:val="22"/>
          <w:lang w:val="en-GB"/>
        </w:rPr>
      </w:pPr>
      <w:r w:rsidRPr="00EB7504">
        <w:rPr>
          <w:sz w:val="22"/>
          <w:szCs w:val="22"/>
          <w:lang w:val="en-GB"/>
        </w:rPr>
        <w:t>The System Operator uses forms based on the E</w:t>
      </w:r>
      <w:r w:rsidR="00C47CE0" w:rsidRPr="00EB7504">
        <w:rPr>
          <w:sz w:val="22"/>
          <w:szCs w:val="22"/>
          <w:lang w:val="en-GB"/>
        </w:rPr>
        <w:t>N</w:t>
      </w:r>
      <w:r w:rsidRPr="00EB7504">
        <w:rPr>
          <w:sz w:val="22"/>
          <w:szCs w:val="22"/>
          <w:lang w:val="en-GB"/>
        </w:rPr>
        <w:t xml:space="preserve">TSO XML messaging standard for data exchange with </w:t>
      </w:r>
      <w:r w:rsidR="00EB7504">
        <w:rPr>
          <w:sz w:val="22"/>
          <w:szCs w:val="22"/>
          <w:lang w:val="en-GB"/>
        </w:rPr>
        <w:t xml:space="preserve">Balance Responsible </w:t>
      </w:r>
      <w:proofErr w:type="spellStart"/>
      <w:r w:rsidR="00EB7504">
        <w:rPr>
          <w:sz w:val="22"/>
          <w:szCs w:val="22"/>
          <w:lang w:val="en-GB"/>
        </w:rPr>
        <w:t>Party</w:t>
      </w:r>
      <w:r w:rsidRPr="00EB7504">
        <w:rPr>
          <w:sz w:val="22"/>
          <w:szCs w:val="22"/>
          <w:lang w:val="en-GB"/>
        </w:rPr>
        <w:t>s</w:t>
      </w:r>
      <w:proofErr w:type="spellEnd"/>
      <w:r w:rsidRPr="00EB7504">
        <w:rPr>
          <w:sz w:val="22"/>
          <w:szCs w:val="22"/>
          <w:lang w:val="en-GB"/>
        </w:rPr>
        <w:t xml:space="preserve"> for balance planning, regulat</w:t>
      </w:r>
      <w:r w:rsidR="00C47CE0" w:rsidRPr="00EB7504">
        <w:rPr>
          <w:sz w:val="22"/>
          <w:szCs w:val="22"/>
          <w:lang w:val="en-GB"/>
        </w:rPr>
        <w:t>ion offers and measurement data</w:t>
      </w:r>
      <w:r w:rsidRPr="00EB7504">
        <w:rPr>
          <w:sz w:val="22"/>
          <w:szCs w:val="22"/>
          <w:lang w:val="en-GB"/>
        </w:rPr>
        <w:t>.</w:t>
      </w:r>
    </w:p>
    <w:p w14:paraId="1037C1B1" w14:textId="77777777" w:rsidR="00FC39DA" w:rsidRPr="00EB7504" w:rsidRDefault="00FC39DA">
      <w:pPr>
        <w:spacing w:before="120" w:after="120"/>
        <w:jc w:val="both"/>
        <w:rPr>
          <w:lang w:val="en-GB"/>
        </w:rPr>
      </w:pPr>
    </w:p>
    <w:p w14:paraId="460E658A" w14:textId="7584A2EB" w:rsidR="00FC39DA" w:rsidRPr="00EB7504" w:rsidRDefault="00FC39DA">
      <w:pPr>
        <w:numPr>
          <w:ilvl w:val="0"/>
          <w:numId w:val="6"/>
        </w:numPr>
        <w:spacing w:before="120" w:after="120"/>
        <w:jc w:val="both"/>
        <w:rPr>
          <w:sz w:val="22"/>
          <w:szCs w:val="22"/>
          <w:lang w:val="en-GB"/>
        </w:rPr>
      </w:pPr>
      <w:r w:rsidRPr="00EB7504">
        <w:rPr>
          <w:sz w:val="22"/>
          <w:szCs w:val="22"/>
          <w:lang w:val="en-GB"/>
        </w:rPr>
        <w:t xml:space="preserve">The </w:t>
      </w:r>
      <w:r w:rsidR="00EB7504">
        <w:rPr>
          <w:sz w:val="22"/>
          <w:szCs w:val="22"/>
          <w:lang w:val="en-GB"/>
        </w:rPr>
        <w:t>Balance Responsible Party</w:t>
      </w:r>
      <w:r w:rsidRPr="00EB7504">
        <w:rPr>
          <w:sz w:val="22"/>
          <w:szCs w:val="22"/>
          <w:lang w:val="en-GB"/>
        </w:rPr>
        <w:t xml:space="preserve"> must submit balance plans to the System Operator as follows:</w:t>
      </w:r>
    </w:p>
    <w:p w14:paraId="315A287D" w14:textId="77777777" w:rsidR="00FC39DA" w:rsidRPr="00EB7504" w:rsidRDefault="00FC39DA" w:rsidP="00C47CE0">
      <w:pPr>
        <w:numPr>
          <w:ilvl w:val="1"/>
          <w:numId w:val="6"/>
        </w:numPr>
        <w:spacing w:before="120" w:after="120"/>
        <w:jc w:val="both"/>
        <w:rPr>
          <w:sz w:val="22"/>
          <w:szCs w:val="22"/>
          <w:lang w:val="en-GB"/>
        </w:rPr>
      </w:pPr>
      <w:r w:rsidRPr="00EB7504">
        <w:rPr>
          <w:sz w:val="22"/>
          <w:szCs w:val="22"/>
          <w:lang w:val="en-GB"/>
        </w:rPr>
        <w:t xml:space="preserve">Sample balance plans and description of the format can be found on the Elering website: </w:t>
      </w:r>
      <w:hyperlink r:id="rId7" w:history="1">
        <w:r w:rsidR="00C47CE0" w:rsidRPr="00EB7504">
          <w:rPr>
            <w:rStyle w:val="Hyperlink"/>
            <w:lang w:val="en-GB"/>
          </w:rPr>
          <w:t>https://elering.ee/en/balance-management#tab3</w:t>
        </w:r>
      </w:hyperlink>
      <w:r w:rsidR="00C47CE0" w:rsidRPr="00EB7504">
        <w:rPr>
          <w:lang w:val="en-GB"/>
        </w:rPr>
        <w:t xml:space="preserve"> </w:t>
      </w:r>
    </w:p>
    <w:p w14:paraId="6AD01694" w14:textId="77777777" w:rsidR="00FC39DA" w:rsidRPr="00EB7504" w:rsidRDefault="00FC39DA" w:rsidP="004809F9">
      <w:pPr>
        <w:numPr>
          <w:ilvl w:val="1"/>
          <w:numId w:val="6"/>
        </w:numPr>
        <w:spacing w:before="120" w:after="120"/>
        <w:jc w:val="both"/>
        <w:rPr>
          <w:sz w:val="22"/>
          <w:szCs w:val="22"/>
          <w:lang w:val="en-GB"/>
        </w:rPr>
      </w:pPr>
      <w:r w:rsidRPr="00EB7504">
        <w:rPr>
          <w:sz w:val="22"/>
          <w:szCs w:val="22"/>
          <w:lang w:val="en-GB"/>
        </w:rPr>
        <w:t xml:space="preserve">Balance plans are submitted electronically by email to </w:t>
      </w:r>
      <w:hyperlink r:id="rId8" w:history="1">
        <w:r w:rsidR="004809F9" w:rsidRPr="00EB7504">
          <w:rPr>
            <w:rStyle w:val="Hyperlink"/>
            <w:sz w:val="22"/>
            <w:szCs w:val="22"/>
            <w:lang w:val="en-GB"/>
          </w:rPr>
          <w:t>bms@estbms.eu</w:t>
        </w:r>
      </w:hyperlink>
      <w:r w:rsidRPr="00EB7504">
        <w:rPr>
          <w:sz w:val="22"/>
          <w:szCs w:val="22"/>
          <w:lang w:val="en-GB"/>
        </w:rPr>
        <w:t>.</w:t>
      </w:r>
      <w:r w:rsidR="004809F9" w:rsidRPr="00EB7504">
        <w:rPr>
          <w:sz w:val="22"/>
          <w:szCs w:val="22"/>
          <w:lang w:val="en-GB"/>
        </w:rPr>
        <w:t xml:space="preserve"> </w:t>
      </w:r>
    </w:p>
    <w:p w14:paraId="4BFF1D6E" w14:textId="77777777" w:rsidR="00CB5012" w:rsidRPr="00EB7504" w:rsidRDefault="00CB5012" w:rsidP="00CB5012">
      <w:pPr>
        <w:spacing w:before="120" w:after="120"/>
        <w:ind w:left="357"/>
        <w:jc w:val="both"/>
        <w:rPr>
          <w:sz w:val="22"/>
          <w:szCs w:val="22"/>
          <w:lang w:val="en-GB"/>
        </w:rPr>
      </w:pPr>
    </w:p>
    <w:p w14:paraId="1518F3EF" w14:textId="33B618E8" w:rsidR="00FC39DA" w:rsidRPr="00EB7504" w:rsidRDefault="00FC39DA">
      <w:pPr>
        <w:numPr>
          <w:ilvl w:val="0"/>
          <w:numId w:val="6"/>
        </w:numPr>
        <w:spacing w:before="120" w:after="120"/>
        <w:jc w:val="both"/>
        <w:rPr>
          <w:sz w:val="22"/>
          <w:szCs w:val="22"/>
          <w:lang w:val="en-GB"/>
        </w:rPr>
      </w:pPr>
      <w:r w:rsidRPr="00EB7504">
        <w:rPr>
          <w:sz w:val="22"/>
          <w:szCs w:val="22"/>
          <w:lang w:val="en-GB"/>
        </w:rPr>
        <w:t xml:space="preserve">The System Operator submits the balance report to the </w:t>
      </w:r>
      <w:r w:rsidR="00EB7504">
        <w:rPr>
          <w:sz w:val="22"/>
          <w:szCs w:val="22"/>
          <w:lang w:val="en-GB"/>
        </w:rPr>
        <w:t>Balance Responsible Party</w:t>
      </w:r>
      <w:r w:rsidRPr="00EB7504">
        <w:rPr>
          <w:sz w:val="22"/>
          <w:szCs w:val="22"/>
          <w:lang w:val="en-GB"/>
        </w:rPr>
        <w:t xml:space="preserve"> as follows:</w:t>
      </w:r>
    </w:p>
    <w:p w14:paraId="7952CBAC" w14:textId="7A6C6401" w:rsidR="00172E86" w:rsidRPr="00EB7504" w:rsidRDefault="00FC39DA" w:rsidP="00172E86">
      <w:pPr>
        <w:numPr>
          <w:ilvl w:val="1"/>
          <w:numId w:val="6"/>
        </w:numPr>
        <w:tabs>
          <w:tab w:val="left" w:pos="567"/>
        </w:tabs>
        <w:spacing w:before="120" w:after="120"/>
        <w:jc w:val="both"/>
        <w:rPr>
          <w:sz w:val="22"/>
          <w:szCs w:val="22"/>
          <w:lang w:val="en-GB"/>
        </w:rPr>
      </w:pPr>
      <w:r w:rsidRPr="00EB7504">
        <w:rPr>
          <w:sz w:val="22"/>
          <w:szCs w:val="22"/>
          <w:lang w:val="en-GB"/>
        </w:rPr>
        <w:t xml:space="preserve">The balance report presented by the System Operator to the </w:t>
      </w:r>
      <w:r w:rsidR="00EB7504">
        <w:rPr>
          <w:sz w:val="22"/>
          <w:szCs w:val="22"/>
          <w:lang w:val="en-GB"/>
        </w:rPr>
        <w:t>Balance Responsible Party</w:t>
      </w:r>
      <w:r w:rsidRPr="00EB7504">
        <w:rPr>
          <w:sz w:val="22"/>
          <w:szCs w:val="22"/>
          <w:lang w:val="en-GB"/>
        </w:rPr>
        <w:t xml:space="preserve"> uses the following form:</w:t>
      </w:r>
    </w:p>
    <w:tbl>
      <w:tblPr>
        <w:tblW w:w="9381" w:type="dxa"/>
        <w:tblInd w:w="45" w:type="dxa"/>
        <w:tblLayout w:type="fixed"/>
        <w:tblCellMar>
          <w:left w:w="70" w:type="dxa"/>
          <w:right w:w="70" w:type="dxa"/>
        </w:tblCellMar>
        <w:tblLook w:val="0000" w:firstRow="0" w:lastRow="0" w:firstColumn="0" w:lastColumn="0" w:noHBand="0" w:noVBand="0"/>
      </w:tblPr>
      <w:tblGrid>
        <w:gridCol w:w="592"/>
        <w:gridCol w:w="851"/>
        <w:gridCol w:w="850"/>
        <w:gridCol w:w="851"/>
        <w:gridCol w:w="850"/>
        <w:gridCol w:w="567"/>
        <w:gridCol w:w="567"/>
        <w:gridCol w:w="851"/>
        <w:gridCol w:w="1134"/>
        <w:gridCol w:w="567"/>
        <w:gridCol w:w="567"/>
        <w:gridCol w:w="1134"/>
      </w:tblGrid>
      <w:tr w:rsidR="00172E86" w:rsidRPr="00EB7504" w14:paraId="42D5CDC7" w14:textId="77777777" w:rsidTr="00172E86">
        <w:trPr>
          <w:cantSplit/>
          <w:trHeight w:val="747"/>
        </w:trPr>
        <w:tc>
          <w:tcPr>
            <w:tcW w:w="592" w:type="dxa"/>
            <w:vMerge w:val="restart"/>
            <w:tcBorders>
              <w:top w:val="single" w:sz="8" w:space="0" w:color="000000"/>
              <w:left w:val="single" w:sz="8" w:space="0" w:color="000000"/>
            </w:tcBorders>
            <w:shd w:val="clear" w:color="auto" w:fill="auto"/>
            <w:vAlign w:val="center"/>
          </w:tcPr>
          <w:p w14:paraId="785C79FF"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Period</w:t>
            </w:r>
          </w:p>
        </w:tc>
        <w:tc>
          <w:tcPr>
            <w:tcW w:w="851" w:type="dxa"/>
            <w:vMerge w:val="restart"/>
            <w:tcBorders>
              <w:top w:val="single" w:sz="8" w:space="0" w:color="000000"/>
              <w:left w:val="single" w:sz="8" w:space="0" w:color="000000"/>
            </w:tcBorders>
            <w:shd w:val="clear" w:color="auto" w:fill="auto"/>
            <w:vAlign w:val="center"/>
          </w:tcPr>
          <w:p w14:paraId="0EC116DD"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Fixed Deliveries</w:t>
            </w:r>
          </w:p>
        </w:tc>
        <w:tc>
          <w:tcPr>
            <w:tcW w:w="850" w:type="dxa"/>
            <w:vMerge w:val="restart"/>
            <w:tcBorders>
              <w:top w:val="single" w:sz="8" w:space="0" w:color="000000"/>
              <w:left w:val="single" w:sz="8" w:space="0" w:color="000000"/>
            </w:tcBorders>
            <w:shd w:val="clear" w:color="auto" w:fill="auto"/>
            <w:vAlign w:val="center"/>
          </w:tcPr>
          <w:p w14:paraId="2096CD11" w14:textId="77777777" w:rsidR="00172E86" w:rsidRPr="00EB7504" w:rsidRDefault="00172E86" w:rsidP="00172E86">
            <w:pPr>
              <w:snapToGrid w:val="0"/>
              <w:jc w:val="center"/>
              <w:rPr>
                <w:color w:val="000000"/>
                <w:sz w:val="16"/>
                <w:szCs w:val="20"/>
                <w:lang w:val="en-GB"/>
              </w:rPr>
            </w:pPr>
            <w:proofErr w:type="gramStart"/>
            <w:r w:rsidRPr="00EB7504">
              <w:rPr>
                <w:color w:val="000000"/>
                <w:sz w:val="16"/>
                <w:szCs w:val="20"/>
                <w:lang w:val="en-GB"/>
              </w:rPr>
              <w:t>Measured  Deliveries</w:t>
            </w:r>
            <w:proofErr w:type="gramEnd"/>
          </w:p>
        </w:tc>
        <w:tc>
          <w:tcPr>
            <w:tcW w:w="851" w:type="dxa"/>
            <w:vMerge w:val="restart"/>
            <w:tcBorders>
              <w:top w:val="single" w:sz="8" w:space="0" w:color="000000"/>
              <w:left w:val="single" w:sz="8" w:space="0" w:color="000000"/>
            </w:tcBorders>
            <w:shd w:val="clear" w:color="auto" w:fill="auto"/>
            <w:vAlign w:val="center"/>
          </w:tcPr>
          <w:p w14:paraId="5445C22B"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Balancing Deliveries</w:t>
            </w:r>
          </w:p>
        </w:tc>
        <w:tc>
          <w:tcPr>
            <w:tcW w:w="850" w:type="dxa"/>
            <w:vMerge w:val="restart"/>
            <w:tcBorders>
              <w:top w:val="single" w:sz="8" w:space="0" w:color="000000"/>
              <w:left w:val="single" w:sz="8" w:space="0" w:color="000000"/>
            </w:tcBorders>
            <w:shd w:val="clear" w:color="auto" w:fill="auto"/>
            <w:vAlign w:val="center"/>
          </w:tcPr>
          <w:p w14:paraId="1336BFEB"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Amount of Imbalance Energy</w:t>
            </w:r>
          </w:p>
        </w:tc>
        <w:tc>
          <w:tcPr>
            <w:tcW w:w="1134" w:type="dxa"/>
            <w:gridSpan w:val="2"/>
            <w:tcBorders>
              <w:top w:val="single" w:sz="8" w:space="0" w:color="000000"/>
              <w:left w:val="single" w:sz="8" w:space="0" w:color="000000"/>
            </w:tcBorders>
            <w:shd w:val="clear" w:color="auto" w:fill="auto"/>
            <w:vAlign w:val="center"/>
          </w:tcPr>
          <w:p w14:paraId="366D5B1C"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Imbalance Energy</w:t>
            </w:r>
          </w:p>
        </w:tc>
        <w:tc>
          <w:tcPr>
            <w:tcW w:w="851" w:type="dxa"/>
            <w:vMerge w:val="restart"/>
            <w:tcBorders>
              <w:top w:val="single" w:sz="8" w:space="0" w:color="000000"/>
              <w:left w:val="single" w:sz="8" w:space="0" w:color="000000"/>
            </w:tcBorders>
            <w:shd w:val="clear" w:color="auto" w:fill="auto"/>
            <w:vAlign w:val="center"/>
          </w:tcPr>
          <w:p w14:paraId="1C4D189E"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Imbalance Price</w:t>
            </w:r>
          </w:p>
          <w:p w14:paraId="54B617E6" w14:textId="77777777" w:rsidR="00172E86" w:rsidRPr="00EB7504" w:rsidRDefault="00172E86" w:rsidP="00172E86">
            <w:pPr>
              <w:snapToGrid w:val="0"/>
              <w:jc w:val="center"/>
              <w:rPr>
                <w:color w:val="000000"/>
                <w:sz w:val="16"/>
                <w:szCs w:val="20"/>
                <w:lang w:val="en-GB"/>
              </w:rPr>
            </w:pPr>
          </w:p>
        </w:tc>
        <w:tc>
          <w:tcPr>
            <w:tcW w:w="1134" w:type="dxa"/>
            <w:vMerge w:val="restart"/>
            <w:tcBorders>
              <w:top w:val="single" w:sz="8" w:space="0" w:color="000000"/>
              <w:left w:val="single" w:sz="8" w:space="0" w:color="000000"/>
              <w:right w:val="single" w:sz="8" w:space="0" w:color="auto"/>
            </w:tcBorders>
            <w:vAlign w:val="center"/>
          </w:tcPr>
          <w:p w14:paraId="68BFBCBA"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Balance Service Administrative cost component</w:t>
            </w:r>
          </w:p>
        </w:tc>
        <w:tc>
          <w:tcPr>
            <w:tcW w:w="1134" w:type="dxa"/>
            <w:gridSpan w:val="2"/>
            <w:tcBorders>
              <w:top w:val="single" w:sz="8" w:space="0" w:color="000000"/>
              <w:left w:val="single" w:sz="8" w:space="0" w:color="000000"/>
              <w:right w:val="single" w:sz="8" w:space="0" w:color="auto"/>
            </w:tcBorders>
            <w:vAlign w:val="center"/>
          </w:tcPr>
          <w:p w14:paraId="1EB8142C"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Imbalance Energy</w:t>
            </w:r>
          </w:p>
        </w:tc>
        <w:tc>
          <w:tcPr>
            <w:tcW w:w="1134" w:type="dxa"/>
            <w:vMerge w:val="restart"/>
            <w:tcBorders>
              <w:top w:val="single" w:sz="8" w:space="0" w:color="000000"/>
              <w:left w:val="single" w:sz="8" w:space="0" w:color="000000"/>
              <w:right w:val="single" w:sz="8" w:space="0" w:color="auto"/>
            </w:tcBorders>
            <w:vAlign w:val="center"/>
          </w:tcPr>
          <w:p w14:paraId="16EAA558"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Balance Service Administrative cost component</w:t>
            </w:r>
          </w:p>
        </w:tc>
      </w:tr>
      <w:tr w:rsidR="00172E86" w:rsidRPr="00EB7504" w14:paraId="3203CB94" w14:textId="77777777" w:rsidTr="00172E86">
        <w:trPr>
          <w:trHeight w:val="37"/>
        </w:trPr>
        <w:tc>
          <w:tcPr>
            <w:tcW w:w="592" w:type="dxa"/>
            <w:vMerge/>
            <w:tcBorders>
              <w:left w:val="single" w:sz="8" w:space="0" w:color="000000"/>
              <w:bottom w:val="single" w:sz="8" w:space="0" w:color="000000"/>
            </w:tcBorders>
            <w:shd w:val="clear" w:color="auto" w:fill="auto"/>
            <w:vAlign w:val="center"/>
          </w:tcPr>
          <w:p w14:paraId="1F441699" w14:textId="77777777" w:rsidR="00172E86" w:rsidRPr="00EB7504" w:rsidRDefault="00172E86" w:rsidP="00172E86">
            <w:pPr>
              <w:rPr>
                <w:sz w:val="16"/>
                <w:szCs w:val="20"/>
                <w:lang w:val="en-GB"/>
              </w:rPr>
            </w:pPr>
          </w:p>
        </w:tc>
        <w:tc>
          <w:tcPr>
            <w:tcW w:w="851" w:type="dxa"/>
            <w:vMerge/>
            <w:tcBorders>
              <w:left w:val="single" w:sz="8" w:space="0" w:color="000000"/>
              <w:bottom w:val="single" w:sz="8" w:space="0" w:color="000000"/>
            </w:tcBorders>
            <w:shd w:val="clear" w:color="auto" w:fill="auto"/>
            <w:vAlign w:val="center"/>
          </w:tcPr>
          <w:p w14:paraId="1223B41E" w14:textId="77777777" w:rsidR="00172E86" w:rsidRPr="00EB7504" w:rsidRDefault="00172E86" w:rsidP="00172E86">
            <w:pPr>
              <w:rPr>
                <w:sz w:val="16"/>
                <w:szCs w:val="20"/>
                <w:lang w:val="en-GB"/>
              </w:rPr>
            </w:pPr>
          </w:p>
        </w:tc>
        <w:tc>
          <w:tcPr>
            <w:tcW w:w="850" w:type="dxa"/>
            <w:vMerge/>
            <w:tcBorders>
              <w:left w:val="single" w:sz="8" w:space="0" w:color="000000"/>
              <w:bottom w:val="single" w:sz="8" w:space="0" w:color="000000"/>
            </w:tcBorders>
            <w:shd w:val="clear" w:color="auto" w:fill="auto"/>
            <w:vAlign w:val="center"/>
          </w:tcPr>
          <w:p w14:paraId="7EC18FC7" w14:textId="77777777" w:rsidR="00172E86" w:rsidRPr="00EB7504" w:rsidRDefault="00172E86" w:rsidP="00172E86">
            <w:pPr>
              <w:rPr>
                <w:sz w:val="16"/>
                <w:szCs w:val="20"/>
                <w:lang w:val="en-GB"/>
              </w:rPr>
            </w:pPr>
          </w:p>
        </w:tc>
        <w:tc>
          <w:tcPr>
            <w:tcW w:w="851" w:type="dxa"/>
            <w:vMerge/>
            <w:tcBorders>
              <w:left w:val="single" w:sz="8" w:space="0" w:color="000000"/>
              <w:bottom w:val="single" w:sz="8" w:space="0" w:color="000000"/>
            </w:tcBorders>
            <w:shd w:val="clear" w:color="auto" w:fill="auto"/>
            <w:vAlign w:val="center"/>
          </w:tcPr>
          <w:p w14:paraId="62B5BDED" w14:textId="77777777" w:rsidR="00172E86" w:rsidRPr="00EB7504" w:rsidRDefault="00172E86" w:rsidP="00172E86">
            <w:pPr>
              <w:rPr>
                <w:sz w:val="16"/>
                <w:szCs w:val="20"/>
                <w:lang w:val="en-GB"/>
              </w:rPr>
            </w:pPr>
          </w:p>
        </w:tc>
        <w:tc>
          <w:tcPr>
            <w:tcW w:w="850" w:type="dxa"/>
            <w:vMerge/>
            <w:tcBorders>
              <w:left w:val="single" w:sz="8" w:space="0" w:color="000000"/>
              <w:bottom w:val="single" w:sz="8" w:space="0" w:color="000000"/>
            </w:tcBorders>
            <w:shd w:val="clear" w:color="auto" w:fill="auto"/>
            <w:vAlign w:val="center"/>
          </w:tcPr>
          <w:p w14:paraId="71441805" w14:textId="77777777" w:rsidR="00172E86" w:rsidRPr="00EB7504" w:rsidRDefault="00172E86" w:rsidP="00172E86">
            <w:pPr>
              <w:rPr>
                <w:sz w:val="16"/>
                <w:szCs w:val="20"/>
                <w:lang w:val="en-GB"/>
              </w:rPr>
            </w:pPr>
          </w:p>
        </w:tc>
        <w:tc>
          <w:tcPr>
            <w:tcW w:w="567" w:type="dxa"/>
            <w:tcBorders>
              <w:top w:val="single" w:sz="8" w:space="0" w:color="auto"/>
              <w:left w:val="single" w:sz="8" w:space="0" w:color="000000"/>
              <w:bottom w:val="single" w:sz="8" w:space="0" w:color="000000"/>
            </w:tcBorders>
            <w:shd w:val="clear" w:color="auto" w:fill="auto"/>
            <w:vAlign w:val="center"/>
          </w:tcPr>
          <w:p w14:paraId="5C5A595F"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Sale</w:t>
            </w:r>
          </w:p>
        </w:tc>
        <w:tc>
          <w:tcPr>
            <w:tcW w:w="567" w:type="dxa"/>
            <w:tcBorders>
              <w:top w:val="single" w:sz="8" w:space="0" w:color="auto"/>
              <w:left w:val="single" w:sz="8" w:space="0" w:color="000000"/>
              <w:bottom w:val="single" w:sz="8" w:space="0" w:color="000000"/>
            </w:tcBorders>
            <w:shd w:val="clear" w:color="auto" w:fill="auto"/>
            <w:vAlign w:val="center"/>
          </w:tcPr>
          <w:p w14:paraId="11237E89"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Purchase</w:t>
            </w:r>
          </w:p>
        </w:tc>
        <w:tc>
          <w:tcPr>
            <w:tcW w:w="851" w:type="dxa"/>
            <w:vMerge/>
            <w:tcBorders>
              <w:left w:val="single" w:sz="8" w:space="0" w:color="000000"/>
              <w:bottom w:val="single" w:sz="8" w:space="0" w:color="000000"/>
            </w:tcBorders>
            <w:shd w:val="clear" w:color="auto" w:fill="auto"/>
            <w:vAlign w:val="center"/>
          </w:tcPr>
          <w:p w14:paraId="19BA0C43" w14:textId="77777777" w:rsidR="00172E86" w:rsidRPr="00EB7504" w:rsidRDefault="00172E86" w:rsidP="00172E86">
            <w:pPr>
              <w:snapToGrid w:val="0"/>
              <w:jc w:val="center"/>
              <w:rPr>
                <w:color w:val="000000"/>
                <w:sz w:val="16"/>
                <w:szCs w:val="20"/>
                <w:lang w:val="en-GB"/>
              </w:rPr>
            </w:pPr>
          </w:p>
        </w:tc>
        <w:tc>
          <w:tcPr>
            <w:tcW w:w="1134" w:type="dxa"/>
            <w:vMerge/>
            <w:tcBorders>
              <w:left w:val="single" w:sz="8" w:space="0" w:color="000000"/>
              <w:bottom w:val="single" w:sz="8" w:space="0" w:color="000000"/>
              <w:right w:val="single" w:sz="8" w:space="0" w:color="auto"/>
            </w:tcBorders>
            <w:vAlign w:val="center"/>
          </w:tcPr>
          <w:p w14:paraId="11752C8D" w14:textId="77777777" w:rsidR="00172E86" w:rsidRPr="00EB7504" w:rsidRDefault="00172E86" w:rsidP="00172E86">
            <w:pPr>
              <w:snapToGrid w:val="0"/>
              <w:rPr>
                <w:color w:val="000000"/>
                <w:sz w:val="16"/>
                <w:szCs w:val="20"/>
                <w:lang w:val="en-GB"/>
              </w:rPr>
            </w:pPr>
          </w:p>
        </w:tc>
        <w:tc>
          <w:tcPr>
            <w:tcW w:w="567" w:type="dxa"/>
            <w:tcBorders>
              <w:top w:val="single" w:sz="8" w:space="0" w:color="auto"/>
              <w:left w:val="single" w:sz="8" w:space="0" w:color="000000"/>
              <w:bottom w:val="single" w:sz="8" w:space="0" w:color="000000"/>
              <w:right w:val="single" w:sz="8" w:space="0" w:color="auto"/>
            </w:tcBorders>
            <w:vAlign w:val="center"/>
          </w:tcPr>
          <w:p w14:paraId="573AD844"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Sale</w:t>
            </w:r>
          </w:p>
        </w:tc>
        <w:tc>
          <w:tcPr>
            <w:tcW w:w="567" w:type="dxa"/>
            <w:tcBorders>
              <w:top w:val="single" w:sz="8" w:space="0" w:color="auto"/>
              <w:left w:val="single" w:sz="8" w:space="0" w:color="000000"/>
              <w:bottom w:val="single" w:sz="8" w:space="0" w:color="000000"/>
              <w:right w:val="single" w:sz="8" w:space="0" w:color="auto"/>
            </w:tcBorders>
            <w:vAlign w:val="center"/>
          </w:tcPr>
          <w:p w14:paraId="078787A4"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Purchase</w:t>
            </w:r>
          </w:p>
        </w:tc>
        <w:tc>
          <w:tcPr>
            <w:tcW w:w="1134" w:type="dxa"/>
            <w:vMerge/>
            <w:tcBorders>
              <w:left w:val="single" w:sz="8" w:space="0" w:color="000000"/>
              <w:bottom w:val="single" w:sz="8" w:space="0" w:color="000000"/>
              <w:right w:val="single" w:sz="8" w:space="0" w:color="auto"/>
            </w:tcBorders>
          </w:tcPr>
          <w:p w14:paraId="756B575F" w14:textId="77777777" w:rsidR="00172E86" w:rsidRPr="00EB7504" w:rsidRDefault="00172E86" w:rsidP="00172E86">
            <w:pPr>
              <w:snapToGrid w:val="0"/>
              <w:jc w:val="center"/>
              <w:rPr>
                <w:color w:val="000000"/>
                <w:sz w:val="16"/>
                <w:szCs w:val="20"/>
                <w:lang w:val="en-GB"/>
              </w:rPr>
            </w:pPr>
          </w:p>
        </w:tc>
      </w:tr>
      <w:tr w:rsidR="00172E86" w:rsidRPr="00EB7504" w14:paraId="48A18DF3" w14:textId="77777777" w:rsidTr="00172E86">
        <w:trPr>
          <w:trHeight w:val="315"/>
        </w:trPr>
        <w:tc>
          <w:tcPr>
            <w:tcW w:w="592" w:type="dxa"/>
            <w:tcBorders>
              <w:left w:val="single" w:sz="8" w:space="0" w:color="000000"/>
            </w:tcBorders>
            <w:shd w:val="clear" w:color="auto" w:fill="auto"/>
            <w:vAlign w:val="center"/>
          </w:tcPr>
          <w:p w14:paraId="56A5AE2D" w14:textId="77777777" w:rsidR="00172E86" w:rsidRPr="00EB7504" w:rsidRDefault="00172E86" w:rsidP="00172E86">
            <w:pPr>
              <w:snapToGrid w:val="0"/>
              <w:jc w:val="center"/>
              <w:rPr>
                <w:color w:val="8080FF"/>
                <w:sz w:val="16"/>
                <w:szCs w:val="20"/>
                <w:lang w:val="en-GB"/>
              </w:rPr>
            </w:pPr>
            <w:r w:rsidRPr="00EB7504">
              <w:rPr>
                <w:color w:val="8080FF"/>
                <w:sz w:val="16"/>
                <w:szCs w:val="20"/>
                <w:lang w:val="en-GB"/>
              </w:rPr>
              <w:t> </w:t>
            </w:r>
          </w:p>
        </w:tc>
        <w:tc>
          <w:tcPr>
            <w:tcW w:w="4536" w:type="dxa"/>
            <w:gridSpan w:val="6"/>
            <w:tcBorders>
              <w:left w:val="single" w:sz="8" w:space="0" w:color="000000"/>
              <w:bottom w:val="single" w:sz="8" w:space="0" w:color="000000"/>
            </w:tcBorders>
            <w:shd w:val="clear" w:color="auto" w:fill="auto"/>
            <w:vAlign w:val="center"/>
          </w:tcPr>
          <w:p w14:paraId="2D17E424"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(MWh)</w:t>
            </w:r>
          </w:p>
        </w:tc>
        <w:tc>
          <w:tcPr>
            <w:tcW w:w="1985" w:type="dxa"/>
            <w:gridSpan w:val="2"/>
            <w:tcBorders>
              <w:top w:val="single" w:sz="8" w:space="0" w:color="000000"/>
              <w:left w:val="single" w:sz="8" w:space="0" w:color="000000"/>
              <w:bottom w:val="single" w:sz="8" w:space="0" w:color="000000"/>
              <w:right w:val="single" w:sz="8" w:space="0" w:color="auto"/>
            </w:tcBorders>
            <w:shd w:val="clear" w:color="auto" w:fill="auto"/>
            <w:vAlign w:val="center"/>
          </w:tcPr>
          <w:p w14:paraId="08981338"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(EUR/MWh)</w:t>
            </w:r>
          </w:p>
        </w:tc>
        <w:tc>
          <w:tcPr>
            <w:tcW w:w="2268" w:type="dxa"/>
            <w:gridSpan w:val="3"/>
            <w:tcBorders>
              <w:top w:val="single" w:sz="8" w:space="0" w:color="000000"/>
              <w:left w:val="single" w:sz="8" w:space="0" w:color="000000"/>
              <w:bottom w:val="single" w:sz="8" w:space="0" w:color="000000"/>
              <w:right w:val="single" w:sz="8" w:space="0" w:color="auto"/>
            </w:tcBorders>
            <w:vAlign w:val="center"/>
          </w:tcPr>
          <w:p w14:paraId="4D261286" w14:textId="77777777" w:rsidR="00172E86" w:rsidRPr="00EB7504" w:rsidRDefault="00172E86" w:rsidP="00172E86">
            <w:pPr>
              <w:snapToGrid w:val="0"/>
              <w:jc w:val="center"/>
              <w:rPr>
                <w:color w:val="000000"/>
                <w:sz w:val="16"/>
                <w:szCs w:val="20"/>
                <w:lang w:val="en-GB"/>
              </w:rPr>
            </w:pPr>
            <w:r w:rsidRPr="00EB7504">
              <w:rPr>
                <w:color w:val="000000"/>
                <w:sz w:val="16"/>
                <w:szCs w:val="20"/>
                <w:lang w:val="en-GB"/>
              </w:rPr>
              <w:t>(EUR)</w:t>
            </w:r>
          </w:p>
        </w:tc>
      </w:tr>
      <w:tr w:rsidR="00172E86" w:rsidRPr="00EB7504" w14:paraId="0DA22395" w14:textId="77777777" w:rsidTr="00172E86">
        <w:trPr>
          <w:trHeight w:val="315"/>
        </w:trPr>
        <w:tc>
          <w:tcPr>
            <w:tcW w:w="592" w:type="dxa"/>
            <w:tcBorders>
              <w:top w:val="single" w:sz="8" w:space="0" w:color="000000"/>
              <w:left w:val="single" w:sz="8" w:space="0" w:color="000000"/>
              <w:bottom w:val="single" w:sz="8" w:space="0" w:color="000000"/>
            </w:tcBorders>
            <w:shd w:val="clear" w:color="auto" w:fill="auto"/>
            <w:vAlign w:val="center"/>
          </w:tcPr>
          <w:p w14:paraId="78CF72FF" w14:textId="77777777" w:rsidR="00172E86" w:rsidRPr="00EB7504" w:rsidRDefault="00172E86" w:rsidP="00172E86">
            <w:pPr>
              <w:snapToGrid w:val="0"/>
              <w:rPr>
                <w:color w:val="000000"/>
                <w:sz w:val="16"/>
                <w:szCs w:val="20"/>
                <w:lang w:val="en-GB"/>
              </w:rPr>
            </w:pPr>
            <w:r w:rsidRPr="00EB7504">
              <w:rPr>
                <w:color w:val="000000"/>
                <w:sz w:val="16"/>
                <w:szCs w:val="20"/>
                <w:lang w:val="en-GB"/>
              </w:rPr>
              <w:t>Total:</w:t>
            </w:r>
          </w:p>
        </w:tc>
        <w:tc>
          <w:tcPr>
            <w:tcW w:w="851" w:type="dxa"/>
            <w:tcBorders>
              <w:top w:val="single" w:sz="8" w:space="0" w:color="000000"/>
              <w:left w:val="single" w:sz="8" w:space="0" w:color="000000"/>
              <w:bottom w:val="single" w:sz="8" w:space="0" w:color="000000"/>
            </w:tcBorders>
            <w:shd w:val="clear" w:color="auto" w:fill="auto"/>
            <w:vAlign w:val="center"/>
          </w:tcPr>
          <w:p w14:paraId="497BAB07"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850" w:type="dxa"/>
            <w:tcBorders>
              <w:top w:val="single" w:sz="8" w:space="0" w:color="000000"/>
              <w:left w:val="single" w:sz="8" w:space="0" w:color="000000"/>
              <w:bottom w:val="single" w:sz="8" w:space="0" w:color="000000"/>
            </w:tcBorders>
            <w:shd w:val="clear" w:color="auto" w:fill="auto"/>
            <w:vAlign w:val="center"/>
          </w:tcPr>
          <w:p w14:paraId="285D1844"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851" w:type="dxa"/>
            <w:tcBorders>
              <w:top w:val="single" w:sz="8" w:space="0" w:color="000000"/>
              <w:left w:val="single" w:sz="8" w:space="0" w:color="000000"/>
              <w:bottom w:val="single" w:sz="8" w:space="0" w:color="000000"/>
            </w:tcBorders>
            <w:shd w:val="clear" w:color="auto" w:fill="auto"/>
            <w:vAlign w:val="center"/>
          </w:tcPr>
          <w:p w14:paraId="1678B1B0"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850" w:type="dxa"/>
            <w:tcBorders>
              <w:top w:val="single" w:sz="8" w:space="0" w:color="000000"/>
              <w:left w:val="single" w:sz="8" w:space="0" w:color="000000"/>
              <w:bottom w:val="single" w:sz="8" w:space="0" w:color="000000"/>
            </w:tcBorders>
            <w:shd w:val="clear" w:color="auto" w:fill="auto"/>
            <w:vAlign w:val="center"/>
          </w:tcPr>
          <w:p w14:paraId="2F455D45"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567" w:type="dxa"/>
            <w:tcBorders>
              <w:top w:val="single" w:sz="8" w:space="0" w:color="000000"/>
              <w:left w:val="single" w:sz="8" w:space="0" w:color="000000"/>
              <w:bottom w:val="single" w:sz="8" w:space="0" w:color="000000"/>
            </w:tcBorders>
            <w:shd w:val="clear" w:color="auto" w:fill="auto"/>
            <w:vAlign w:val="center"/>
          </w:tcPr>
          <w:p w14:paraId="1317D99D"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567" w:type="dxa"/>
            <w:tcBorders>
              <w:top w:val="single" w:sz="8" w:space="0" w:color="000000"/>
              <w:left w:val="single" w:sz="8" w:space="0" w:color="000000"/>
              <w:bottom w:val="single" w:sz="8" w:space="0" w:color="000000"/>
            </w:tcBorders>
            <w:shd w:val="clear" w:color="auto" w:fill="auto"/>
            <w:vAlign w:val="center"/>
          </w:tcPr>
          <w:p w14:paraId="150422B2"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851" w:type="dxa"/>
            <w:tcBorders>
              <w:top w:val="single" w:sz="8" w:space="0" w:color="000000"/>
              <w:left w:val="single" w:sz="8" w:space="0" w:color="000000"/>
              <w:bottom w:val="single" w:sz="8" w:space="0" w:color="000000"/>
            </w:tcBorders>
            <w:shd w:val="clear" w:color="auto" w:fill="auto"/>
            <w:vAlign w:val="center"/>
          </w:tcPr>
          <w:p w14:paraId="5AB3C527"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p w14:paraId="3D9F55BD" w14:textId="77777777" w:rsidR="00172E86" w:rsidRPr="00EB7504" w:rsidRDefault="00172E86" w:rsidP="00172E86">
            <w:pPr>
              <w:snapToGrid w:val="0"/>
              <w:jc w:val="right"/>
              <w:rPr>
                <w:color w:val="8080FF"/>
                <w:sz w:val="16"/>
                <w:szCs w:val="20"/>
                <w:lang w:val="en-GB"/>
              </w:rPr>
            </w:pPr>
            <w:r w:rsidRPr="00EB7504">
              <w:rPr>
                <w:color w:val="8080FF"/>
                <w:sz w:val="16"/>
                <w:szCs w:val="20"/>
                <w:lang w:val="en-GB"/>
              </w:rPr>
              <w:t> </w:t>
            </w:r>
          </w:p>
        </w:tc>
        <w:tc>
          <w:tcPr>
            <w:tcW w:w="1134" w:type="dxa"/>
            <w:tcBorders>
              <w:top w:val="single" w:sz="8" w:space="0" w:color="000000"/>
              <w:left w:val="single" w:sz="8" w:space="0" w:color="000000"/>
              <w:bottom w:val="single" w:sz="8" w:space="0" w:color="000000"/>
              <w:right w:val="single" w:sz="8" w:space="0" w:color="000000"/>
            </w:tcBorders>
          </w:tcPr>
          <w:p w14:paraId="24A91512" w14:textId="77777777" w:rsidR="00172E86" w:rsidRPr="00EB7504" w:rsidRDefault="00172E86" w:rsidP="00172E86">
            <w:pPr>
              <w:snapToGrid w:val="0"/>
              <w:jc w:val="right"/>
              <w:rPr>
                <w:color w:val="8080FF"/>
                <w:sz w:val="16"/>
                <w:szCs w:val="20"/>
                <w:lang w:val="en-GB"/>
              </w:rPr>
            </w:pPr>
          </w:p>
        </w:tc>
        <w:tc>
          <w:tcPr>
            <w:tcW w:w="1134" w:type="dxa"/>
            <w:gridSpan w:val="2"/>
            <w:tcBorders>
              <w:top w:val="single" w:sz="8" w:space="0" w:color="000000"/>
              <w:left w:val="single" w:sz="8" w:space="0" w:color="000000"/>
              <w:bottom w:val="single" w:sz="8" w:space="0" w:color="000000"/>
              <w:right w:val="single" w:sz="8" w:space="0" w:color="000000"/>
            </w:tcBorders>
          </w:tcPr>
          <w:p w14:paraId="059A0C1D" w14:textId="77777777" w:rsidR="00172E86" w:rsidRPr="00EB7504" w:rsidRDefault="00172E86" w:rsidP="00172E86">
            <w:pPr>
              <w:snapToGrid w:val="0"/>
              <w:jc w:val="right"/>
              <w:rPr>
                <w:color w:val="8080FF"/>
                <w:sz w:val="16"/>
                <w:szCs w:val="20"/>
                <w:lang w:val="en-GB"/>
              </w:rPr>
            </w:pPr>
          </w:p>
        </w:tc>
        <w:tc>
          <w:tcPr>
            <w:tcW w:w="1134" w:type="dxa"/>
            <w:tcBorders>
              <w:top w:val="single" w:sz="8" w:space="0" w:color="000000"/>
              <w:left w:val="single" w:sz="8" w:space="0" w:color="000000"/>
              <w:bottom w:val="single" w:sz="8" w:space="0" w:color="000000"/>
              <w:right w:val="single" w:sz="8" w:space="0" w:color="000000"/>
            </w:tcBorders>
          </w:tcPr>
          <w:p w14:paraId="01CF6D56" w14:textId="77777777" w:rsidR="00172E86" w:rsidRPr="00EB7504" w:rsidRDefault="00172E86" w:rsidP="00172E86">
            <w:pPr>
              <w:snapToGrid w:val="0"/>
              <w:jc w:val="right"/>
              <w:rPr>
                <w:color w:val="8080FF"/>
                <w:sz w:val="16"/>
                <w:szCs w:val="20"/>
                <w:lang w:val="en-GB"/>
              </w:rPr>
            </w:pPr>
          </w:p>
        </w:tc>
      </w:tr>
    </w:tbl>
    <w:p w14:paraId="203BCC79" w14:textId="77777777" w:rsidR="00FC39DA" w:rsidRPr="00EB7504" w:rsidRDefault="00FC39DA">
      <w:pPr>
        <w:jc w:val="both"/>
        <w:rPr>
          <w:sz w:val="22"/>
          <w:szCs w:val="22"/>
          <w:lang w:val="en-GB"/>
        </w:rPr>
      </w:pPr>
    </w:p>
    <w:p w14:paraId="311FF10F" w14:textId="77777777" w:rsidR="00FC39DA" w:rsidRPr="00EB7504" w:rsidRDefault="00FC39DA">
      <w:pPr>
        <w:ind w:left="720"/>
        <w:jc w:val="both"/>
        <w:rPr>
          <w:sz w:val="22"/>
          <w:szCs w:val="22"/>
          <w:lang w:val="en-GB"/>
        </w:rPr>
      </w:pPr>
    </w:p>
    <w:p w14:paraId="316FA1A5" w14:textId="77777777" w:rsidR="00FC39DA" w:rsidRPr="00EB7504" w:rsidRDefault="00FC39DA">
      <w:pPr>
        <w:pStyle w:val="Heading1"/>
        <w:numPr>
          <w:ilvl w:val="0"/>
          <w:numId w:val="6"/>
        </w:numPr>
        <w:spacing w:before="0"/>
        <w:jc w:val="both"/>
        <w:rPr>
          <w:sz w:val="22"/>
          <w:szCs w:val="22"/>
          <w:lang w:val="en-GB"/>
        </w:rPr>
      </w:pPr>
      <w:r w:rsidRPr="00EB7504">
        <w:rPr>
          <w:sz w:val="22"/>
          <w:szCs w:val="22"/>
          <w:lang w:val="en-GB"/>
        </w:rPr>
        <w:t>Signatures of the Parties:</w:t>
      </w:r>
    </w:p>
    <w:p w14:paraId="2298FE93" w14:textId="77777777" w:rsidR="00FC39DA" w:rsidRPr="00EB7504" w:rsidRDefault="00FC39DA">
      <w:pPr>
        <w:pStyle w:val="Heading1"/>
        <w:numPr>
          <w:ilvl w:val="0"/>
          <w:numId w:val="0"/>
        </w:numPr>
        <w:spacing w:before="0"/>
        <w:jc w:val="both"/>
        <w:rPr>
          <w:bCs/>
          <w:sz w:val="22"/>
          <w:szCs w:val="22"/>
          <w:lang w:val="en-GB"/>
        </w:rPr>
      </w:pPr>
    </w:p>
    <w:p w14:paraId="626B19C1" w14:textId="2405D838" w:rsidR="00FC39DA" w:rsidRPr="00EB7504" w:rsidRDefault="00FC39DA">
      <w:pPr>
        <w:rPr>
          <w:b/>
          <w:bCs/>
          <w:sz w:val="22"/>
          <w:szCs w:val="22"/>
          <w:lang w:val="en-GB"/>
        </w:rPr>
      </w:pPr>
      <w:r w:rsidRPr="00EB7504">
        <w:rPr>
          <w:b/>
          <w:bCs/>
          <w:sz w:val="22"/>
          <w:szCs w:val="22"/>
          <w:lang w:val="en-GB"/>
        </w:rPr>
        <w:t>System Operator</w:t>
      </w:r>
      <w:r w:rsidRPr="00EB7504">
        <w:rPr>
          <w:b/>
          <w:bCs/>
          <w:sz w:val="22"/>
          <w:szCs w:val="22"/>
          <w:lang w:val="en-GB"/>
        </w:rPr>
        <w:tab/>
      </w:r>
      <w:r w:rsidRPr="00EB7504">
        <w:rPr>
          <w:b/>
          <w:bCs/>
          <w:sz w:val="22"/>
          <w:szCs w:val="22"/>
          <w:lang w:val="en-GB"/>
        </w:rPr>
        <w:tab/>
      </w:r>
      <w:r w:rsidRPr="00EB7504">
        <w:rPr>
          <w:b/>
          <w:bCs/>
          <w:sz w:val="22"/>
          <w:szCs w:val="22"/>
          <w:lang w:val="en-GB"/>
        </w:rPr>
        <w:tab/>
      </w:r>
      <w:r w:rsidRPr="00EB7504">
        <w:rPr>
          <w:b/>
          <w:bCs/>
          <w:sz w:val="22"/>
          <w:szCs w:val="22"/>
          <w:lang w:val="en-GB"/>
        </w:rPr>
        <w:tab/>
      </w:r>
      <w:r w:rsidRPr="00EB7504">
        <w:rPr>
          <w:b/>
          <w:bCs/>
          <w:sz w:val="22"/>
          <w:szCs w:val="22"/>
          <w:lang w:val="en-GB"/>
        </w:rPr>
        <w:tab/>
      </w:r>
      <w:r w:rsidR="00EB7504">
        <w:rPr>
          <w:b/>
          <w:bCs/>
          <w:sz w:val="22"/>
          <w:szCs w:val="22"/>
          <w:lang w:val="en-GB"/>
        </w:rPr>
        <w:t>Balance Responsible Party</w:t>
      </w:r>
    </w:p>
    <w:p w14:paraId="41C7DE79" w14:textId="77777777" w:rsidR="00172E86" w:rsidRPr="00EB7504" w:rsidRDefault="00172E86" w:rsidP="00CB5012">
      <w:pPr>
        <w:tabs>
          <w:tab w:val="left" w:pos="567"/>
        </w:tabs>
        <w:jc w:val="both"/>
        <w:rPr>
          <w:sz w:val="22"/>
          <w:szCs w:val="22"/>
          <w:lang w:val="en-GB"/>
        </w:rPr>
      </w:pPr>
    </w:p>
    <w:p w14:paraId="2BAEAE3C" w14:textId="77777777" w:rsidR="00172E86" w:rsidRPr="00EB7504" w:rsidRDefault="00172E86" w:rsidP="00CB5012">
      <w:pPr>
        <w:tabs>
          <w:tab w:val="left" w:pos="567"/>
        </w:tabs>
        <w:jc w:val="both"/>
        <w:rPr>
          <w:sz w:val="22"/>
          <w:szCs w:val="22"/>
          <w:lang w:val="en-GB"/>
        </w:rPr>
      </w:pPr>
    </w:p>
    <w:tbl>
      <w:tblPr>
        <w:tblW w:w="0" w:type="auto"/>
        <w:jc w:val="center"/>
        <w:tblLook w:val="00A0" w:firstRow="1" w:lastRow="0" w:firstColumn="1" w:lastColumn="0" w:noHBand="0" w:noVBand="0"/>
      </w:tblPr>
      <w:tblGrid>
        <w:gridCol w:w="4960"/>
        <w:gridCol w:w="3588"/>
      </w:tblGrid>
      <w:tr w:rsidR="00172E86" w:rsidRPr="00EB7504" w14:paraId="2D9DC63F" w14:textId="77777777" w:rsidTr="008A6155">
        <w:trPr>
          <w:jc w:val="center"/>
        </w:trPr>
        <w:tc>
          <w:tcPr>
            <w:tcW w:w="4972" w:type="dxa"/>
          </w:tcPr>
          <w:p w14:paraId="675F0B50" w14:textId="77777777" w:rsidR="00172E86" w:rsidRPr="00EB7504" w:rsidRDefault="00172E86" w:rsidP="008A6155">
            <w:r w:rsidRPr="00EB7504">
              <w:t>/signed digitally/</w:t>
            </w:r>
            <w:r w:rsidRPr="00EB7504">
              <w:tab/>
            </w:r>
          </w:p>
        </w:tc>
        <w:tc>
          <w:tcPr>
            <w:tcW w:w="3596" w:type="dxa"/>
          </w:tcPr>
          <w:p w14:paraId="4441DBE5" w14:textId="77777777" w:rsidR="00172E86" w:rsidRPr="00EB7504" w:rsidRDefault="00172E86" w:rsidP="008A6155">
            <w:r w:rsidRPr="00EB7504">
              <w:t>/ signed digitally/</w:t>
            </w:r>
          </w:p>
        </w:tc>
      </w:tr>
      <w:tr w:rsidR="00172E86" w:rsidRPr="00EB7504" w14:paraId="115B8861" w14:textId="77777777" w:rsidTr="008A6155">
        <w:trPr>
          <w:jc w:val="center"/>
        </w:trPr>
        <w:tc>
          <w:tcPr>
            <w:tcW w:w="4972" w:type="dxa"/>
          </w:tcPr>
          <w:p w14:paraId="18CB2180" w14:textId="77777777" w:rsidR="00172E86" w:rsidRPr="00EB7504" w:rsidRDefault="00172E86" w:rsidP="008A6155">
            <w:r w:rsidRPr="00EB7504">
              <w:t xml:space="preserve">Taavi Veskimägi </w:t>
            </w:r>
          </w:p>
          <w:p w14:paraId="43D0F155" w14:textId="77777777" w:rsidR="00172E86" w:rsidRPr="00EB7504" w:rsidRDefault="00172E86" w:rsidP="008A6155"/>
        </w:tc>
        <w:tc>
          <w:tcPr>
            <w:tcW w:w="3596" w:type="dxa"/>
          </w:tcPr>
          <w:p w14:paraId="41C72ECF" w14:textId="008C4ED5" w:rsidR="00172E86" w:rsidRPr="00EB7504" w:rsidRDefault="00EB7504" w:rsidP="008A6155">
            <w:r w:rsidRPr="009E4D70">
              <w:rPr>
                <w:sz w:val="22"/>
                <w:szCs w:val="22"/>
                <w:highlight w:val="yellow"/>
              </w:rPr>
              <w:t>…..</w:t>
            </w:r>
          </w:p>
        </w:tc>
      </w:tr>
    </w:tbl>
    <w:p w14:paraId="7F8BA828" w14:textId="77777777" w:rsidR="00FC39DA" w:rsidRPr="00EB7504" w:rsidRDefault="00FC39DA" w:rsidP="00172E86">
      <w:pPr>
        <w:tabs>
          <w:tab w:val="left" w:pos="567"/>
        </w:tabs>
        <w:jc w:val="both"/>
        <w:rPr>
          <w:sz w:val="22"/>
          <w:szCs w:val="22"/>
          <w:lang w:val="en-GB"/>
        </w:rPr>
      </w:pPr>
    </w:p>
    <w:sectPr w:rsidR="00FC39DA" w:rsidRPr="00EB7504" w:rsidSect="00172E86">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space"/>
      <w:lvlText w:val="%1"/>
      <w:lvlJc w:val="left"/>
      <w:pPr>
        <w:tabs>
          <w:tab w:val="num" w:pos="0"/>
        </w:tabs>
        <w:ind w:left="737" w:hanging="737"/>
      </w:pPr>
      <w:rPr>
        <w:rFonts w:ascii="Times New Roman" w:hAnsi="Times New Roman"/>
        <w:b/>
        <w:i w:val="0"/>
        <w:sz w:val="24"/>
      </w:rPr>
    </w:lvl>
    <w:lvl w:ilvl="1">
      <w:start w:val="1"/>
      <w:numFmt w:val="decimal"/>
      <w:suff w:val="space"/>
      <w:lvlText w:val="%1.%2"/>
      <w:lvlJc w:val="left"/>
      <w:pPr>
        <w:tabs>
          <w:tab w:val="num" w:pos="0"/>
        </w:tabs>
        <w:ind w:left="576" w:hanging="292"/>
      </w:pPr>
      <w:rPr>
        <w:rFonts w:ascii="Times New Roman" w:hAnsi="Times New Roman"/>
        <w:b w:val="0"/>
        <w:i w:val="0"/>
        <w:sz w:val="24"/>
      </w:rPr>
    </w:lvl>
    <w:lvl w:ilvl="2">
      <w:start w:val="1"/>
      <w:numFmt w:val="decimal"/>
      <w:suff w:val="space"/>
      <w:lvlText w:val="%1.%2.%3"/>
      <w:lvlJc w:val="left"/>
      <w:pPr>
        <w:tabs>
          <w:tab w:val="num" w:pos="0"/>
        </w:tabs>
        <w:ind w:left="720" w:hanging="153"/>
      </w:pPr>
      <w:rPr>
        <w:rFonts w:ascii="Times New Roman" w:hAnsi="Times New Roman"/>
        <w:b w:val="0"/>
        <w:i w:val="0"/>
        <w:sz w:val="24"/>
      </w:rPr>
    </w:lvl>
    <w:lvl w:ilvl="3">
      <w:start w:val="1"/>
      <w:numFmt w:val="decimal"/>
      <w:suff w:val="space"/>
      <w:lvlText w:val="%1.%2.%3.%4"/>
      <w:lvlJc w:val="left"/>
      <w:pPr>
        <w:tabs>
          <w:tab w:val="num" w:pos="0"/>
        </w:tabs>
        <w:ind w:left="864" w:hanging="864"/>
      </w:pPr>
      <w:rPr>
        <w:rFonts w:ascii="Times New Roman" w:hAnsi="Times New Roman"/>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5"/>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6"/>
    <w:lvl w:ilvl="0">
      <w:start w:val="1"/>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080" w:hanging="108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440" w:hanging="1440"/>
      </w:pPr>
      <w:rPr>
        <w:rFonts w:cs="Times New Roman"/>
      </w:rPr>
    </w:lvl>
  </w:abstractNum>
  <w:abstractNum w:abstractNumId="4" w15:restartNumberingAfterBreak="0">
    <w:nsid w:val="00000005"/>
    <w:multiLevelType w:val="multilevel"/>
    <w:tmpl w:val="00000005"/>
    <w:name w:val="WW8Num10"/>
    <w:lvl w:ilvl="0">
      <w:start w:val="4"/>
      <w:numFmt w:val="decimal"/>
      <w:lvlText w:val="%1."/>
      <w:lvlJc w:val="left"/>
      <w:pPr>
        <w:tabs>
          <w:tab w:val="num" w:pos="720"/>
        </w:tabs>
        <w:ind w:left="720" w:hanging="360"/>
      </w:pPr>
    </w:lvl>
    <w:lvl w:ilvl="1">
      <w:start w:val="9"/>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15:restartNumberingAfterBreak="0">
    <w:nsid w:val="00000006"/>
    <w:multiLevelType w:val="multilevel"/>
    <w:tmpl w:val="00000006"/>
    <w:name w:val="WW8Num14"/>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color w:val="00000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7"/>
    <w:multiLevelType w:val="multilevel"/>
    <w:tmpl w:val="00000007"/>
    <w:name w:val="WW8Num17"/>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644"/>
        </w:tabs>
        <w:ind w:left="644" w:hanging="36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7" w15:restartNumberingAfterBreak="0">
    <w:nsid w:val="00000008"/>
    <w:multiLevelType w:val="multilevel"/>
    <w:tmpl w:val="00000008"/>
    <w:name w:val="WW8Num38"/>
    <w:lvl w:ilvl="0">
      <w:start w:val="5"/>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9"/>
    <w:multiLevelType w:val="multilevel"/>
    <w:tmpl w:val="00000009"/>
    <w:name w:val="WW8Num39"/>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A"/>
    <w:multiLevelType w:val="multilevel"/>
    <w:tmpl w:val="0000000A"/>
    <w:name w:val="WW8Num43"/>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15:restartNumberingAfterBreak="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6C9"/>
    <w:rsid w:val="00040804"/>
    <w:rsid w:val="00072C8F"/>
    <w:rsid w:val="000A02C0"/>
    <w:rsid w:val="000A6B2F"/>
    <w:rsid w:val="00115832"/>
    <w:rsid w:val="00172E86"/>
    <w:rsid w:val="004809F9"/>
    <w:rsid w:val="004F75F2"/>
    <w:rsid w:val="00500FFE"/>
    <w:rsid w:val="005D56C9"/>
    <w:rsid w:val="00605E66"/>
    <w:rsid w:val="006710F8"/>
    <w:rsid w:val="008A6155"/>
    <w:rsid w:val="009C6FC9"/>
    <w:rsid w:val="00A539F3"/>
    <w:rsid w:val="00AE52E4"/>
    <w:rsid w:val="00B6725D"/>
    <w:rsid w:val="00BE5BBE"/>
    <w:rsid w:val="00C47CE0"/>
    <w:rsid w:val="00CB5012"/>
    <w:rsid w:val="00D533DE"/>
    <w:rsid w:val="00EB7504"/>
    <w:rsid w:val="00ED4721"/>
    <w:rsid w:val="00F01DD9"/>
    <w:rsid w:val="00F7039B"/>
    <w:rsid w:val="00FC39D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B440287"/>
  <w15:chartTrackingRefBased/>
  <w15:docId w15:val="{2E2B9500-303F-452D-9E93-4D89052A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numPr>
        <w:numId w:val="1"/>
      </w:numPr>
      <w:spacing w:before="480"/>
      <w:outlineLvl w:val="0"/>
    </w:pPr>
    <w:rPr>
      <w:b/>
      <w:szCs w:val="20"/>
    </w:rPr>
  </w:style>
  <w:style w:type="paragraph" w:styleId="Heading2">
    <w:name w:val="heading 2"/>
    <w:basedOn w:val="Normal"/>
    <w:next w:val="Normal"/>
    <w:qFormat/>
    <w:pPr>
      <w:numPr>
        <w:ilvl w:val="1"/>
        <w:numId w:val="1"/>
      </w:numPr>
      <w:spacing w:before="120"/>
      <w:jc w:val="both"/>
      <w:outlineLvl w:val="1"/>
    </w:pPr>
    <w:rPr>
      <w:szCs w:val="20"/>
      <w:lang w:val="en-GB"/>
    </w:rPr>
  </w:style>
  <w:style w:type="paragraph" w:styleId="Heading3">
    <w:name w:val="heading 3"/>
    <w:basedOn w:val="Normal"/>
    <w:next w:val="Normal"/>
    <w:qFormat/>
    <w:pPr>
      <w:keepNext/>
      <w:numPr>
        <w:ilvl w:val="2"/>
        <w:numId w:val="1"/>
      </w:numPr>
      <w:spacing w:before="120"/>
      <w:jc w:val="both"/>
      <w:outlineLvl w:val="2"/>
    </w:pPr>
    <w:rPr>
      <w:szCs w:val="20"/>
    </w:rPr>
  </w:style>
  <w:style w:type="paragraph" w:styleId="Heading4">
    <w:name w:val="heading 4"/>
    <w:basedOn w:val="Normal"/>
    <w:next w:val="Normal"/>
    <w:qFormat/>
    <w:pPr>
      <w:keepNext/>
      <w:numPr>
        <w:ilvl w:val="3"/>
        <w:numId w:val="1"/>
      </w:numPr>
      <w:outlineLvl w:val="3"/>
    </w:pPr>
    <w:rPr>
      <w:rFonts w:ascii="Garamond" w:hAnsi="Garamond"/>
      <w:szCs w:val="20"/>
    </w:rPr>
  </w:style>
  <w:style w:type="paragraph" w:styleId="Heading5">
    <w:name w:val="heading 5"/>
    <w:basedOn w:val="Normal"/>
    <w:next w:val="Normal"/>
    <w:qFormat/>
    <w:pPr>
      <w:keepNext/>
      <w:numPr>
        <w:ilvl w:val="4"/>
        <w:numId w:val="1"/>
      </w:numPr>
      <w:pBdr>
        <w:top w:val="single" w:sz="4" w:space="7" w:color="FFFFFF"/>
        <w:left w:val="single" w:sz="4" w:space="7" w:color="FFFFFF"/>
        <w:bottom w:val="single" w:sz="4" w:space="7" w:color="FFFFFF"/>
        <w:right w:val="single" w:sz="4" w:space="7" w:color="FFFFFF"/>
      </w:pBdr>
      <w:shd w:val="clear" w:color="auto" w:fill="FFFFFF"/>
      <w:outlineLvl w:val="4"/>
    </w:pPr>
    <w:rPr>
      <w:szCs w:val="20"/>
    </w:rPr>
  </w:style>
  <w:style w:type="paragraph" w:styleId="Heading6">
    <w:name w:val="heading 6"/>
    <w:basedOn w:val="Normal"/>
    <w:next w:val="Normal"/>
    <w:qFormat/>
    <w:pPr>
      <w:numPr>
        <w:ilvl w:val="5"/>
        <w:numId w:val="1"/>
      </w:numPr>
      <w:spacing w:before="240" w:after="60"/>
      <w:outlineLvl w:val="5"/>
    </w:pPr>
    <w:rPr>
      <w:b/>
      <w:bCs/>
      <w:sz w:val="22"/>
      <w:szCs w:val="22"/>
      <w:lang w:val="en-GB"/>
    </w:rPr>
  </w:style>
  <w:style w:type="paragraph" w:styleId="Heading7">
    <w:name w:val="heading 7"/>
    <w:basedOn w:val="Normal"/>
    <w:next w:val="Normal"/>
    <w:qFormat/>
    <w:pPr>
      <w:numPr>
        <w:ilvl w:val="6"/>
        <w:numId w:val="1"/>
      </w:numPr>
      <w:spacing w:before="240" w:after="60"/>
      <w:outlineLvl w:val="6"/>
    </w:pPr>
    <w:rPr>
      <w:lang w:val="en-GB"/>
    </w:rPr>
  </w:style>
  <w:style w:type="paragraph" w:styleId="Heading8">
    <w:name w:val="heading 8"/>
    <w:basedOn w:val="Normal"/>
    <w:next w:val="Normal"/>
    <w:qFormat/>
    <w:pPr>
      <w:keepNext/>
      <w:numPr>
        <w:ilvl w:val="7"/>
        <w:numId w:val="1"/>
      </w:numPr>
      <w:jc w:val="both"/>
      <w:outlineLvl w:val="7"/>
    </w:pPr>
    <w:rPr>
      <w:b/>
      <w:szCs w:val="20"/>
    </w:rPr>
  </w:style>
  <w:style w:type="paragraph" w:styleId="Heading9">
    <w:name w:val="heading 9"/>
    <w:basedOn w:val="Normal"/>
    <w:next w:val="Normal"/>
    <w:qFormat/>
    <w:pPr>
      <w:keepNext/>
      <w:numPr>
        <w:ilvl w:val="8"/>
        <w:numId w:val="1"/>
      </w:numPr>
      <w:tabs>
        <w:tab w:val="left" w:pos="567"/>
      </w:tabs>
      <w:jc w:val="both"/>
      <w:outlineLvl w:val="8"/>
    </w:pPr>
    <w:rPr>
      <w:szCs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Calibri" w:eastAsia="Times New Roman" w:hAnsi="Calibri" w:cs="Calibri"/>
    </w:rPr>
  </w:style>
  <w:style w:type="character" w:customStyle="1" w:styleId="WW8Num6z1">
    <w:name w:val="WW8Num6z1"/>
    <w:rPr>
      <w:rFonts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1z0">
    <w:name w:val="WW8Num11z0"/>
    <w:rPr>
      <w:rFonts w:ascii="Symbol" w:hAnsi="Symbol"/>
    </w:rPr>
  </w:style>
  <w:style w:type="character" w:customStyle="1" w:styleId="WW8Num11z2">
    <w:name w:val="WW8Num11z2"/>
    <w:rPr>
      <w:rFonts w:ascii="Wingdings" w:hAnsi="Wingdings"/>
    </w:rPr>
  </w:style>
  <w:style w:type="character" w:customStyle="1" w:styleId="WW8Num11z4">
    <w:name w:val="WW8Num11z4"/>
    <w:rPr>
      <w:rFonts w:ascii="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1">
    <w:name w:val="WW8Num14z1"/>
    <w:rPr>
      <w:color w:val="000000"/>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color w:val="000000"/>
    </w:rPr>
  </w:style>
  <w:style w:type="character" w:customStyle="1" w:styleId="WW8Num24z0">
    <w:name w:val="WW8Num24z0"/>
    <w:rPr>
      <w:rFonts w:ascii="Times New Roman" w:hAnsi="Times New Roman"/>
      <w:b/>
      <w:i w:val="0"/>
      <w:sz w:val="24"/>
    </w:rPr>
  </w:style>
  <w:style w:type="character" w:customStyle="1" w:styleId="WW8Num24z1">
    <w:name w:val="WW8Num24z1"/>
    <w:rPr>
      <w:rFonts w:ascii="Times New Roman" w:hAnsi="Times New Roman"/>
      <w:b w:val="0"/>
      <w:i w:val="0"/>
      <w:sz w:val="24"/>
    </w:rPr>
  </w:style>
  <w:style w:type="character" w:customStyle="1" w:styleId="WW8Num25z0">
    <w:name w:val="WW8Num25z0"/>
    <w:rPr>
      <w:rFonts w:ascii="Times New Roman" w:eastAsia="Times New Roman" w:hAnsi="Times New Roman" w:cs="Times New Roman"/>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7z0">
    <w:name w:val="WW8Num37z0"/>
    <w:rPr>
      <w:rFonts w:cs="Times New Roman"/>
    </w:rPr>
  </w:style>
  <w:style w:type="character" w:customStyle="1" w:styleId="WW8Num39z0">
    <w:name w:val="WW8Num39z0"/>
    <w:rPr>
      <w:rFonts w:cs="Times New Roman"/>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4z0">
    <w:name w:val="WW8Num44z0"/>
    <w:rPr>
      <w:rFonts w:ascii="Symbol" w:hAnsi="Symbol"/>
    </w:rPr>
  </w:style>
  <w:style w:type="character" w:customStyle="1" w:styleId="WW8Num45z0">
    <w:name w:val="WW8Num45z0"/>
    <w:rPr>
      <w:b/>
    </w:rPr>
  </w:style>
  <w:style w:type="character" w:styleId="DefaultParagraphFont0">
    <w:name w:val="Default Paragraph 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character" w:styleId="FollowedHyperlink">
    <w:name w:val="FollowedHyperlink"/>
    <w:rPr>
      <w:color w:val="80000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2835"/>
      </w:tabs>
      <w:jc w:val="both"/>
    </w:pPr>
    <w:rPr>
      <w:szCs w:val="20"/>
      <w:lang w:val="en-GB"/>
    </w:rPr>
  </w:style>
  <w:style w:type="paragraph" w:styleId="List">
    <w:name w:val="List"/>
    <w:basedOn w:val="BodyText"/>
    <w:rPr>
      <w:rFonts w:cs="Mangal"/>
    </w:rPr>
  </w:style>
  <w:style w:type="paragraph" w:styleId="Caption">
    <w:name w:val="caption"/>
    <w:basedOn w:val="Normal"/>
    <w:next w:val="Normal"/>
    <w:qFormat/>
    <w:pPr>
      <w:spacing w:before="120"/>
    </w:pPr>
    <w:rPr>
      <w:b/>
      <w:bCs/>
      <w:sz w:val="20"/>
      <w:szCs w:val="20"/>
    </w:rPr>
  </w:style>
  <w:style w:type="paragraph" w:customStyle="1" w:styleId="Index">
    <w:name w:val="Index"/>
    <w:basedOn w:val="Normal"/>
    <w:pPr>
      <w:suppressLineNumbers/>
    </w:pPr>
    <w:rPr>
      <w:rFonts w:cs="Mangal"/>
    </w:rPr>
  </w:style>
  <w:style w:type="paragraph" w:styleId="BodyText2">
    <w:name w:val="Body Text 2"/>
    <w:basedOn w:val="Normal"/>
    <w:pPr>
      <w:jc w:val="both"/>
    </w:pPr>
    <w:rPr>
      <w:sz w:val="22"/>
    </w:rPr>
  </w:style>
  <w:style w:type="paragraph" w:styleId="CommentText">
    <w:name w:val="annotation text"/>
    <w:basedOn w:val="Normal"/>
    <w:link w:val="CommentTextChar"/>
    <w:rPr>
      <w:rFonts w:ascii="Garamond" w:hAnsi="Garamond"/>
      <w:szCs w:val="20"/>
    </w:rPr>
  </w:style>
  <w:style w:type="paragraph" w:styleId="BodyTextIndent">
    <w:name w:val="Body Text Indent"/>
    <w:basedOn w:val="Normal"/>
    <w:pPr>
      <w:spacing w:after="120"/>
      <w:ind w:left="283"/>
    </w:pPr>
  </w:style>
  <w:style w:type="paragraph" w:styleId="Header">
    <w:name w:val="header"/>
    <w:basedOn w:val="Normal"/>
    <w:pPr>
      <w:tabs>
        <w:tab w:val="center" w:pos="4153"/>
        <w:tab w:val="right" w:pos="8306"/>
      </w:tabs>
    </w:pPr>
  </w:style>
  <w:style w:type="paragraph" w:styleId="BodyText3">
    <w:name w:val="Body Text 3"/>
    <w:basedOn w:val="Normal"/>
    <w:pPr>
      <w:spacing w:after="120"/>
    </w:pPr>
    <w:rPr>
      <w:sz w:val="16"/>
      <w:szCs w:val="16"/>
    </w:rPr>
  </w:style>
  <w:style w:type="paragraph" w:customStyle="1" w:styleId="StyleHeading2Before15ptAfter15pt">
    <w:name w:val="Style Heading 2 + Before:  15 pt After:  15 pt"/>
    <w:basedOn w:val="Heading2"/>
    <w:pPr>
      <w:numPr>
        <w:ilvl w:val="0"/>
        <w:numId w:val="0"/>
      </w:numPr>
      <w:tabs>
        <w:tab w:val="left" w:pos="576"/>
      </w:tabs>
      <w:spacing w:before="60" w:after="60"/>
      <w:ind w:left="576" w:hanging="463"/>
      <w:jc w:val="left"/>
    </w:pPr>
    <w:rPr>
      <w:bCs/>
    </w:rPr>
  </w:style>
  <w:style w:type="paragraph" w:styleId="ListParagraph">
    <w:name w:val="List Paragraph"/>
    <w:basedOn w:val="Normal"/>
    <w:qFormat/>
    <w:pPr>
      <w:ind w:left="720"/>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NormalJustified">
    <w:name w:val="Normal + Justified"/>
    <w:basedOn w:val="Normal"/>
    <w:rsid w:val="00CB5012"/>
    <w:pPr>
      <w:tabs>
        <w:tab w:val="left" w:pos="0"/>
        <w:tab w:val="num" w:pos="720"/>
      </w:tabs>
      <w:ind w:left="567" w:hanging="567"/>
      <w:jc w:val="both"/>
    </w:pPr>
    <w:rPr>
      <w:rFonts w:ascii="Garamond" w:hAnsi="Garamond" w:cs="Garamond"/>
    </w:rPr>
  </w:style>
  <w:style w:type="character" w:styleId="CommentReference">
    <w:name w:val="annotation reference"/>
    <w:uiPriority w:val="99"/>
    <w:semiHidden/>
    <w:unhideWhenUsed/>
    <w:rsid w:val="00500FFE"/>
    <w:rPr>
      <w:sz w:val="16"/>
      <w:szCs w:val="16"/>
    </w:rPr>
  </w:style>
  <w:style w:type="paragraph" w:styleId="CommentSubject">
    <w:name w:val="annotation subject"/>
    <w:basedOn w:val="CommentText"/>
    <w:next w:val="CommentText"/>
    <w:link w:val="CommentSubjectChar"/>
    <w:uiPriority w:val="99"/>
    <w:semiHidden/>
    <w:unhideWhenUsed/>
    <w:rsid w:val="00500FFE"/>
    <w:rPr>
      <w:rFonts w:ascii="Times New Roman" w:hAnsi="Times New Roman"/>
      <w:b/>
      <w:bCs/>
      <w:sz w:val="20"/>
    </w:rPr>
  </w:style>
  <w:style w:type="character" w:customStyle="1" w:styleId="CommentTextChar">
    <w:name w:val="Comment Text Char"/>
    <w:link w:val="CommentText"/>
    <w:rsid w:val="00500FFE"/>
    <w:rPr>
      <w:rFonts w:ascii="Garamond" w:hAnsi="Garamond"/>
      <w:sz w:val="24"/>
      <w:lang w:eastAsia="ar-SA"/>
    </w:rPr>
  </w:style>
  <w:style w:type="character" w:customStyle="1" w:styleId="CommentSubjectChar">
    <w:name w:val="Comment Subject Char"/>
    <w:link w:val="CommentSubject"/>
    <w:uiPriority w:val="99"/>
    <w:semiHidden/>
    <w:rsid w:val="00500FFE"/>
    <w:rPr>
      <w:rFonts w:ascii="Garamond" w:hAnsi="Garamond"/>
      <w:b/>
      <w:bCs/>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s@estbms.eu" TargetMode="External"/><Relationship Id="rId3" Type="http://schemas.openxmlformats.org/officeDocument/2006/relationships/styles" Target="styles.xml"/><Relationship Id="rId7" Type="http://schemas.openxmlformats.org/officeDocument/2006/relationships/hyperlink" Target="https://elering.ee/en/balance-management#tab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ering.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2E83B-0C81-4C91-AB19-9A486650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965</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ELECTRICITY BALANCE AGREEMENT no. PVEJK-BIL-084-1</vt:lpstr>
    </vt:vector>
  </TitlesOfParts>
  <Company>Elering OÜ</Company>
  <LinksUpToDate>false</LinksUpToDate>
  <CharactersWithSpaces>6554</CharactersWithSpaces>
  <SharedDoc>false</SharedDoc>
  <HLinks>
    <vt:vector size="18" baseType="variant">
      <vt:variant>
        <vt:i4>5505120</vt:i4>
      </vt:variant>
      <vt:variant>
        <vt:i4>6</vt:i4>
      </vt:variant>
      <vt:variant>
        <vt:i4>0</vt:i4>
      </vt:variant>
      <vt:variant>
        <vt:i4>5</vt:i4>
      </vt:variant>
      <vt:variant>
        <vt:lpwstr>mailto:bms@estbms.eu</vt:lpwstr>
      </vt:variant>
      <vt:variant>
        <vt:lpwstr/>
      </vt:variant>
      <vt:variant>
        <vt:i4>524318</vt:i4>
      </vt:variant>
      <vt:variant>
        <vt:i4>3</vt:i4>
      </vt:variant>
      <vt:variant>
        <vt:i4>0</vt:i4>
      </vt:variant>
      <vt:variant>
        <vt:i4>5</vt:i4>
      </vt:variant>
      <vt:variant>
        <vt:lpwstr>https://elering.ee/en/balance-management</vt:lpwstr>
      </vt:variant>
      <vt:variant>
        <vt:lpwstr>tab3</vt:lpwstr>
      </vt:variant>
      <vt:variant>
        <vt:i4>7274603</vt:i4>
      </vt:variant>
      <vt:variant>
        <vt:i4>0</vt:i4>
      </vt:variant>
      <vt:variant>
        <vt:i4>0</vt:i4>
      </vt:variant>
      <vt:variant>
        <vt:i4>5</vt:i4>
      </vt:variant>
      <vt:variant>
        <vt:lpwstr>http://www.elering.ee/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BALANCE AGREEMENT no. PVEJK-BIL-084-1</dc:title>
  <dc:subject/>
  <dc:creator>marie kalmet</dc:creator>
  <cp:keywords/>
  <cp:lastModifiedBy>Kristofer Vare</cp:lastModifiedBy>
  <cp:revision>3</cp:revision>
  <cp:lastPrinted>2008-07-01T06:24:00Z</cp:lastPrinted>
  <dcterms:created xsi:type="dcterms:W3CDTF">2022-04-16T15:24:00Z</dcterms:created>
  <dcterms:modified xsi:type="dcterms:W3CDTF">2022-04-16T15:28:00Z</dcterms:modified>
</cp:coreProperties>
</file>