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D2B5" w14:textId="67B5061D" w:rsidR="005A7905" w:rsidRPr="00562C3A" w:rsidRDefault="006D5E9E" w:rsidP="006D5E9E">
      <w:pPr>
        <w:jc w:val="center"/>
        <w:rPr>
          <w:rFonts w:ascii="Times New Roman" w:hAnsi="Times New Roman" w:cs="Times New Roman"/>
          <w:b/>
          <w:bCs/>
          <w:sz w:val="24"/>
          <w:szCs w:val="24"/>
          <w:lang w:val="en-GB"/>
        </w:rPr>
      </w:pPr>
      <w:r w:rsidRPr="00562C3A">
        <w:rPr>
          <w:rFonts w:ascii="Times New Roman" w:hAnsi="Times New Roman" w:cs="Times New Roman"/>
          <w:b/>
          <w:bCs/>
          <w:sz w:val="24"/>
          <w:szCs w:val="24"/>
          <w:lang w:val="en-GB"/>
        </w:rPr>
        <w:t>The summary of proposals and comments received within the process of Public</w:t>
      </w:r>
      <w:r w:rsidR="00822B51" w:rsidRPr="00562C3A">
        <w:rPr>
          <w:rFonts w:ascii="Times New Roman" w:hAnsi="Times New Roman" w:cs="Times New Roman"/>
          <w:b/>
          <w:bCs/>
          <w:sz w:val="24"/>
          <w:szCs w:val="24"/>
          <w:lang w:val="en-GB"/>
        </w:rPr>
        <w:t xml:space="preserve"> </w:t>
      </w:r>
      <w:r w:rsidRPr="00562C3A">
        <w:rPr>
          <w:rFonts w:ascii="Times New Roman" w:hAnsi="Times New Roman" w:cs="Times New Roman"/>
          <w:b/>
          <w:bCs/>
          <w:sz w:val="24"/>
          <w:szCs w:val="24"/>
          <w:lang w:val="en-GB"/>
        </w:rPr>
        <w:t xml:space="preserve">Consultation on the Amendments to the Common Regulations for the Use of Natural Gas Transmission System (carried out from </w:t>
      </w:r>
      <w:r w:rsidR="006009C5" w:rsidRPr="00562C3A">
        <w:rPr>
          <w:rFonts w:ascii="Times New Roman" w:hAnsi="Times New Roman" w:cs="Times New Roman"/>
          <w:b/>
          <w:bCs/>
          <w:sz w:val="24"/>
          <w:szCs w:val="24"/>
          <w:lang w:val="en-GB"/>
        </w:rPr>
        <w:t>1</w:t>
      </w:r>
      <w:r w:rsidR="006009C5">
        <w:rPr>
          <w:rFonts w:ascii="Times New Roman" w:hAnsi="Times New Roman" w:cs="Times New Roman"/>
          <w:b/>
          <w:bCs/>
          <w:sz w:val="24"/>
          <w:szCs w:val="24"/>
          <w:lang w:val="en-GB"/>
        </w:rPr>
        <w:t>6</w:t>
      </w:r>
      <w:r w:rsidRPr="00562C3A">
        <w:rPr>
          <w:rFonts w:ascii="Times New Roman" w:hAnsi="Times New Roman" w:cs="Times New Roman"/>
          <w:b/>
          <w:bCs/>
          <w:sz w:val="24"/>
          <w:szCs w:val="24"/>
          <w:lang w:val="en-GB"/>
        </w:rPr>
        <w:t>.</w:t>
      </w:r>
      <w:r w:rsidR="006009C5">
        <w:rPr>
          <w:rFonts w:ascii="Times New Roman" w:hAnsi="Times New Roman" w:cs="Times New Roman"/>
          <w:b/>
          <w:bCs/>
          <w:sz w:val="24"/>
          <w:szCs w:val="24"/>
          <w:lang w:val="en-GB"/>
        </w:rPr>
        <w:t>02</w:t>
      </w:r>
      <w:r w:rsidRPr="00562C3A">
        <w:rPr>
          <w:rFonts w:ascii="Times New Roman" w:hAnsi="Times New Roman" w:cs="Times New Roman"/>
          <w:b/>
          <w:bCs/>
          <w:sz w:val="24"/>
          <w:szCs w:val="24"/>
          <w:lang w:val="en-GB"/>
        </w:rPr>
        <w:t>.</w:t>
      </w:r>
      <w:r w:rsidR="006009C5" w:rsidRPr="00562C3A">
        <w:rPr>
          <w:rFonts w:ascii="Times New Roman" w:hAnsi="Times New Roman" w:cs="Times New Roman"/>
          <w:b/>
          <w:bCs/>
          <w:sz w:val="24"/>
          <w:szCs w:val="24"/>
          <w:lang w:val="en-GB"/>
        </w:rPr>
        <w:t>202</w:t>
      </w:r>
      <w:r w:rsidR="006009C5">
        <w:rPr>
          <w:rFonts w:ascii="Times New Roman" w:hAnsi="Times New Roman" w:cs="Times New Roman"/>
          <w:b/>
          <w:bCs/>
          <w:sz w:val="24"/>
          <w:szCs w:val="24"/>
          <w:lang w:val="en-GB"/>
        </w:rPr>
        <w:t>3</w:t>
      </w:r>
      <w:r w:rsidR="006009C5" w:rsidRPr="00562C3A">
        <w:rPr>
          <w:rFonts w:ascii="Times New Roman" w:hAnsi="Times New Roman" w:cs="Times New Roman"/>
          <w:b/>
          <w:bCs/>
          <w:sz w:val="24"/>
          <w:szCs w:val="24"/>
          <w:lang w:val="en-GB"/>
        </w:rPr>
        <w:t xml:space="preserve"> </w:t>
      </w:r>
      <w:r w:rsidRPr="00562C3A">
        <w:rPr>
          <w:rFonts w:ascii="Times New Roman" w:hAnsi="Times New Roman" w:cs="Times New Roman"/>
          <w:b/>
          <w:bCs/>
          <w:sz w:val="24"/>
          <w:szCs w:val="24"/>
          <w:lang w:val="en-GB"/>
        </w:rPr>
        <w:t xml:space="preserve">till </w:t>
      </w:r>
      <w:r w:rsidR="006009C5">
        <w:rPr>
          <w:rFonts w:ascii="Times New Roman" w:hAnsi="Times New Roman" w:cs="Times New Roman"/>
          <w:b/>
          <w:bCs/>
          <w:sz w:val="24"/>
          <w:szCs w:val="24"/>
          <w:lang w:val="en-GB"/>
        </w:rPr>
        <w:t>22.02</w:t>
      </w:r>
      <w:r w:rsidRPr="00562C3A">
        <w:rPr>
          <w:rFonts w:ascii="Times New Roman" w:hAnsi="Times New Roman" w:cs="Times New Roman"/>
          <w:b/>
          <w:bCs/>
          <w:sz w:val="24"/>
          <w:szCs w:val="24"/>
          <w:lang w:val="en-GB"/>
        </w:rPr>
        <w:t>.</w:t>
      </w:r>
      <w:r w:rsidR="006009C5" w:rsidRPr="00562C3A">
        <w:rPr>
          <w:rFonts w:ascii="Times New Roman" w:hAnsi="Times New Roman" w:cs="Times New Roman"/>
          <w:b/>
          <w:bCs/>
          <w:sz w:val="24"/>
          <w:szCs w:val="24"/>
          <w:lang w:val="en-GB"/>
        </w:rPr>
        <w:t>202</w:t>
      </w:r>
      <w:r w:rsidR="006009C5">
        <w:rPr>
          <w:rFonts w:ascii="Times New Roman" w:hAnsi="Times New Roman" w:cs="Times New Roman"/>
          <w:b/>
          <w:bCs/>
          <w:sz w:val="24"/>
          <w:szCs w:val="24"/>
          <w:lang w:val="en-GB"/>
        </w:rPr>
        <w:t>3</w:t>
      </w:r>
      <w:r w:rsidRPr="00562C3A">
        <w:rPr>
          <w:rFonts w:ascii="Times New Roman" w:hAnsi="Times New Roman" w:cs="Times New Roman"/>
          <w:b/>
          <w:bCs/>
          <w:sz w:val="24"/>
          <w:szCs w:val="24"/>
          <w:lang w:val="en-GB"/>
        </w:rPr>
        <w:t>)</w:t>
      </w:r>
    </w:p>
    <w:p w14:paraId="66711275" w14:textId="77777777" w:rsidR="006D5E9E" w:rsidRPr="00562C3A" w:rsidRDefault="006D5E9E" w:rsidP="006D5E9E">
      <w:pPr>
        <w:jc w:val="center"/>
        <w:rPr>
          <w:rFonts w:ascii="Times New Roman" w:hAnsi="Times New Roman" w:cs="Times New Roman"/>
          <w:b/>
          <w:bCs/>
          <w:sz w:val="24"/>
          <w:szCs w:val="24"/>
          <w:lang w:val="en-GB"/>
        </w:rPr>
      </w:pPr>
    </w:p>
    <w:tbl>
      <w:tblPr>
        <w:tblStyle w:val="TableGrid"/>
        <w:tblW w:w="0" w:type="auto"/>
        <w:tblLook w:val="04A0" w:firstRow="1" w:lastRow="0" w:firstColumn="1" w:lastColumn="0" w:noHBand="0" w:noVBand="1"/>
      </w:tblPr>
      <w:tblGrid>
        <w:gridCol w:w="570"/>
        <w:gridCol w:w="4459"/>
        <w:gridCol w:w="4459"/>
        <w:gridCol w:w="4460"/>
      </w:tblGrid>
      <w:tr w:rsidR="005F6594" w:rsidRPr="00562C3A" w14:paraId="2A45EBB1" w14:textId="77777777" w:rsidTr="006009C5">
        <w:tc>
          <w:tcPr>
            <w:tcW w:w="0" w:type="auto"/>
            <w:shd w:val="clear" w:color="auto" w:fill="EDEDED" w:themeFill="accent3" w:themeFillTint="33"/>
          </w:tcPr>
          <w:p w14:paraId="128A9B39" w14:textId="3752CFD6" w:rsidR="005F6594" w:rsidRPr="00562C3A" w:rsidRDefault="005F6594" w:rsidP="006D5E9E">
            <w:pPr>
              <w:jc w:val="center"/>
              <w:rPr>
                <w:rFonts w:ascii="Times New Roman" w:hAnsi="Times New Roman" w:cs="Times New Roman"/>
                <w:b/>
                <w:bCs/>
                <w:sz w:val="24"/>
                <w:szCs w:val="24"/>
                <w:lang w:val="en-GB"/>
              </w:rPr>
            </w:pPr>
            <w:r w:rsidRPr="00562C3A">
              <w:rPr>
                <w:rFonts w:ascii="Times New Roman" w:hAnsi="Times New Roman" w:cs="Times New Roman"/>
                <w:b/>
                <w:bCs/>
                <w:sz w:val="24"/>
                <w:szCs w:val="24"/>
                <w:lang w:val="en-GB"/>
              </w:rPr>
              <w:t>No.</w:t>
            </w:r>
          </w:p>
        </w:tc>
        <w:tc>
          <w:tcPr>
            <w:tcW w:w="4459" w:type="dxa"/>
            <w:shd w:val="clear" w:color="auto" w:fill="EDEDED" w:themeFill="accent3" w:themeFillTint="33"/>
          </w:tcPr>
          <w:p w14:paraId="45783373" w14:textId="34FE9D97" w:rsidR="005F6594" w:rsidRPr="00562C3A" w:rsidRDefault="005F6594" w:rsidP="006D5E9E">
            <w:pPr>
              <w:jc w:val="center"/>
              <w:rPr>
                <w:rFonts w:ascii="Times New Roman" w:hAnsi="Times New Roman" w:cs="Times New Roman"/>
                <w:b/>
                <w:bCs/>
                <w:sz w:val="24"/>
                <w:szCs w:val="24"/>
                <w:lang w:val="en-GB"/>
              </w:rPr>
            </w:pPr>
            <w:r w:rsidRPr="00562C3A">
              <w:rPr>
                <w:rFonts w:ascii="Times New Roman" w:hAnsi="Times New Roman" w:cs="Times New Roman"/>
                <w:b/>
                <w:bCs/>
                <w:sz w:val="24"/>
                <w:szCs w:val="24"/>
                <w:lang w:val="en-GB"/>
              </w:rPr>
              <w:t>Relevant regulation norm or initial proposal for the amendments</w:t>
            </w:r>
          </w:p>
        </w:tc>
        <w:tc>
          <w:tcPr>
            <w:tcW w:w="4459" w:type="dxa"/>
            <w:shd w:val="clear" w:color="auto" w:fill="EDEDED" w:themeFill="accent3" w:themeFillTint="33"/>
          </w:tcPr>
          <w:p w14:paraId="3A392EB6" w14:textId="59379C68" w:rsidR="005F6594" w:rsidRPr="00562C3A" w:rsidRDefault="005F6594" w:rsidP="006D5E9E">
            <w:pPr>
              <w:jc w:val="center"/>
              <w:rPr>
                <w:rFonts w:ascii="Times New Roman" w:hAnsi="Times New Roman" w:cs="Times New Roman"/>
                <w:b/>
                <w:bCs/>
                <w:sz w:val="24"/>
                <w:szCs w:val="24"/>
                <w:lang w:val="en-GB"/>
              </w:rPr>
            </w:pPr>
            <w:r w:rsidRPr="00562C3A">
              <w:rPr>
                <w:rFonts w:ascii="Times New Roman" w:hAnsi="Times New Roman" w:cs="Times New Roman"/>
                <w:b/>
                <w:bCs/>
                <w:sz w:val="24"/>
                <w:szCs w:val="24"/>
                <w:lang w:val="en-GB"/>
              </w:rPr>
              <w:t xml:space="preserve">Comment or proposal </w:t>
            </w:r>
          </w:p>
        </w:tc>
        <w:tc>
          <w:tcPr>
            <w:tcW w:w="4460" w:type="dxa"/>
            <w:shd w:val="clear" w:color="auto" w:fill="EDEDED" w:themeFill="accent3" w:themeFillTint="33"/>
          </w:tcPr>
          <w:p w14:paraId="3EC1C240" w14:textId="082BF332" w:rsidR="005F6594" w:rsidRPr="00562C3A" w:rsidRDefault="005F6594" w:rsidP="006D5E9E">
            <w:pPr>
              <w:jc w:val="center"/>
              <w:rPr>
                <w:rFonts w:ascii="Times New Roman" w:hAnsi="Times New Roman" w:cs="Times New Roman"/>
                <w:b/>
                <w:bCs/>
                <w:sz w:val="24"/>
                <w:szCs w:val="24"/>
                <w:lang w:val="en-GB"/>
              </w:rPr>
            </w:pPr>
            <w:r w:rsidRPr="00562C3A">
              <w:rPr>
                <w:rFonts w:ascii="Times New Roman" w:hAnsi="Times New Roman" w:cs="Times New Roman"/>
                <w:b/>
                <w:bCs/>
                <w:sz w:val="24"/>
                <w:szCs w:val="24"/>
                <w:lang w:val="en-GB"/>
              </w:rPr>
              <w:t>The opinion of TSOs regarding the comments or proposals</w:t>
            </w:r>
          </w:p>
        </w:tc>
      </w:tr>
      <w:tr w:rsidR="006009C5" w:rsidRPr="00562C3A" w14:paraId="1066386E" w14:textId="77777777" w:rsidTr="006009C5">
        <w:tc>
          <w:tcPr>
            <w:tcW w:w="0" w:type="auto"/>
          </w:tcPr>
          <w:p w14:paraId="21702156" w14:textId="77777777" w:rsidR="006009C5" w:rsidRPr="00562C3A" w:rsidRDefault="006009C5" w:rsidP="006009C5">
            <w:pPr>
              <w:pStyle w:val="ListParagraph"/>
              <w:numPr>
                <w:ilvl w:val="0"/>
                <w:numId w:val="3"/>
              </w:numPr>
              <w:ind w:left="308" w:hanging="372"/>
              <w:rPr>
                <w:rFonts w:ascii="Times New Roman" w:hAnsi="Times New Roman" w:cs="Times New Roman"/>
                <w:sz w:val="24"/>
                <w:szCs w:val="24"/>
                <w:lang w:val="en-GB"/>
              </w:rPr>
            </w:pPr>
          </w:p>
        </w:tc>
        <w:tc>
          <w:tcPr>
            <w:tcW w:w="4459" w:type="dxa"/>
          </w:tcPr>
          <w:p w14:paraId="3F9F28F2" w14:textId="7E6EA22F" w:rsidR="006009C5" w:rsidRPr="00035583" w:rsidRDefault="00411943" w:rsidP="006009C5">
            <w:pPr>
              <w:rPr>
                <w:rFonts w:ascii="Times New Roman" w:hAnsi="Times New Roman" w:cs="Times New Roman"/>
                <w:i/>
                <w:iCs/>
                <w:sz w:val="24"/>
                <w:szCs w:val="24"/>
                <w:lang w:val="en-GB"/>
              </w:rPr>
            </w:pPr>
            <w:r w:rsidRPr="00035583">
              <w:rPr>
                <w:rFonts w:ascii="Times New Roman" w:hAnsi="Times New Roman" w:cs="Times New Roman"/>
                <w:i/>
                <w:iCs/>
                <w:sz w:val="24"/>
                <w:szCs w:val="24"/>
                <w:lang w:val="en-GB"/>
              </w:rPr>
              <w:t>n/a</w:t>
            </w:r>
          </w:p>
        </w:tc>
        <w:tc>
          <w:tcPr>
            <w:tcW w:w="4459" w:type="dxa"/>
          </w:tcPr>
          <w:p w14:paraId="70A66C0E" w14:textId="67915ECD" w:rsidR="006009C5" w:rsidRPr="00035583" w:rsidRDefault="006009C5" w:rsidP="006009C5">
            <w:pPr>
              <w:rPr>
                <w:rFonts w:ascii="Times New Roman" w:hAnsi="Times New Roman" w:cs="Times New Roman"/>
                <w:sz w:val="24"/>
                <w:szCs w:val="24"/>
                <w:lang w:val="en-GB"/>
              </w:rPr>
            </w:pPr>
            <w:r w:rsidRPr="00035583">
              <w:rPr>
                <w:rFonts w:ascii="Times New Roman" w:hAnsi="Times New Roman" w:cs="Times New Roman"/>
                <w:sz w:val="24"/>
                <w:szCs w:val="24"/>
                <w:lang w:val="en-GB"/>
              </w:rPr>
              <w:t xml:space="preserve">We kindly ask for an explanation for the case where there is congestion at the </w:t>
            </w:r>
            <w:proofErr w:type="spellStart"/>
            <w:r w:rsidRPr="00035583">
              <w:rPr>
                <w:rFonts w:ascii="Times New Roman" w:hAnsi="Times New Roman" w:cs="Times New Roman"/>
                <w:sz w:val="24"/>
                <w:szCs w:val="24"/>
                <w:lang w:val="en-GB"/>
              </w:rPr>
              <w:t>Kiemenai</w:t>
            </w:r>
            <w:proofErr w:type="spellEnd"/>
            <w:r w:rsidRPr="00035583">
              <w:rPr>
                <w:rFonts w:ascii="Times New Roman" w:hAnsi="Times New Roman" w:cs="Times New Roman"/>
                <w:sz w:val="24"/>
                <w:szCs w:val="24"/>
                <w:lang w:val="en-GB"/>
              </w:rPr>
              <w:t xml:space="preserve"> entry/exit </w:t>
            </w:r>
            <w:r w:rsidR="00035583" w:rsidRPr="00035583">
              <w:rPr>
                <w:rFonts w:ascii="Times New Roman" w:hAnsi="Times New Roman" w:cs="Times New Roman"/>
                <w:sz w:val="24"/>
                <w:szCs w:val="24"/>
                <w:lang w:val="en-GB"/>
              </w:rPr>
              <w:t>point,</w:t>
            </w:r>
            <w:r w:rsidRPr="00035583">
              <w:rPr>
                <w:rFonts w:ascii="Times New Roman" w:hAnsi="Times New Roman" w:cs="Times New Roman"/>
                <w:sz w:val="24"/>
                <w:szCs w:val="24"/>
                <w:lang w:val="en-GB"/>
              </w:rPr>
              <w:t xml:space="preserve"> and the natural gas quantity nominated to a transmission system user does not match the booked yearly/quarterly/monthly/day-ahead or intra-day capacity. At which moment does the transmission system operator divert the unused capacities to the free market as an interruptible transmission capacity product, and does the transmission system user remain eligible for re-nomination in respect of the unused capacity under the transmission system regulations?</w:t>
            </w:r>
          </w:p>
        </w:tc>
        <w:tc>
          <w:tcPr>
            <w:tcW w:w="4460" w:type="dxa"/>
          </w:tcPr>
          <w:p w14:paraId="3B8C4CAC" w14:textId="1F2FA0B1" w:rsidR="006009C5" w:rsidRPr="00035583" w:rsidRDefault="00401933" w:rsidP="006009C5">
            <w:pPr>
              <w:rPr>
                <w:rFonts w:ascii="Times New Roman" w:hAnsi="Times New Roman" w:cs="Times New Roman"/>
                <w:sz w:val="24"/>
                <w:szCs w:val="24"/>
                <w:lang w:val="en-GB"/>
              </w:rPr>
            </w:pPr>
            <w:r w:rsidRPr="00035583">
              <w:rPr>
                <w:rFonts w:ascii="Times New Roman" w:hAnsi="Times New Roman" w:cs="Times New Roman"/>
                <w:sz w:val="24"/>
                <w:szCs w:val="24"/>
                <w:lang w:val="en-GB"/>
              </w:rPr>
              <w:t>Under TSO</w:t>
            </w:r>
            <w:r w:rsidR="00857FA4">
              <w:rPr>
                <w:rFonts w:ascii="Times New Roman" w:hAnsi="Times New Roman" w:cs="Times New Roman"/>
                <w:sz w:val="24"/>
                <w:szCs w:val="24"/>
                <w:lang w:val="en-GB"/>
              </w:rPr>
              <w:t>s</w:t>
            </w:r>
            <w:r w:rsidRPr="00035583">
              <w:rPr>
                <w:rFonts w:ascii="Times New Roman" w:hAnsi="Times New Roman" w:cs="Times New Roman"/>
                <w:sz w:val="24"/>
                <w:szCs w:val="24"/>
                <w:lang w:val="en-GB"/>
              </w:rPr>
              <w:t xml:space="preserve"> </w:t>
            </w:r>
            <w:r w:rsidR="00857FA4">
              <w:rPr>
                <w:rFonts w:ascii="Times New Roman" w:hAnsi="Times New Roman" w:cs="Times New Roman"/>
                <w:sz w:val="24"/>
                <w:szCs w:val="24"/>
                <w:lang w:val="en-GB"/>
              </w:rPr>
              <w:t xml:space="preserve">amendment </w:t>
            </w:r>
            <w:r w:rsidRPr="00035583">
              <w:rPr>
                <w:rFonts w:ascii="Times New Roman" w:hAnsi="Times New Roman" w:cs="Times New Roman"/>
                <w:sz w:val="24"/>
                <w:szCs w:val="24"/>
                <w:lang w:val="en-GB"/>
              </w:rPr>
              <w:t>proposal</w:t>
            </w:r>
            <w:r w:rsidR="00EA5E90" w:rsidRPr="00035583">
              <w:rPr>
                <w:rFonts w:ascii="Times New Roman" w:hAnsi="Times New Roman" w:cs="Times New Roman"/>
                <w:sz w:val="24"/>
                <w:szCs w:val="24"/>
                <w:lang w:val="en-GB"/>
              </w:rPr>
              <w:t>,</w:t>
            </w:r>
            <w:r w:rsidRPr="00035583">
              <w:rPr>
                <w:rFonts w:ascii="Times New Roman" w:hAnsi="Times New Roman" w:cs="Times New Roman"/>
                <w:sz w:val="24"/>
                <w:szCs w:val="24"/>
                <w:lang w:val="en-GB"/>
              </w:rPr>
              <w:t xml:space="preserve"> rights of </w:t>
            </w:r>
            <w:r w:rsidR="00035583">
              <w:rPr>
                <w:rFonts w:ascii="Times New Roman" w:hAnsi="Times New Roman" w:cs="Times New Roman"/>
                <w:sz w:val="24"/>
                <w:szCs w:val="24"/>
                <w:lang w:val="en-GB"/>
              </w:rPr>
              <w:t xml:space="preserve">transmission system </w:t>
            </w:r>
            <w:r w:rsidR="008D04FD" w:rsidRPr="00035583">
              <w:rPr>
                <w:rFonts w:ascii="Times New Roman" w:hAnsi="Times New Roman" w:cs="Times New Roman"/>
                <w:sz w:val="24"/>
                <w:szCs w:val="24"/>
                <w:lang w:val="en-GB"/>
              </w:rPr>
              <w:t>users’</w:t>
            </w:r>
            <w:r w:rsidRPr="00035583">
              <w:rPr>
                <w:rFonts w:ascii="Times New Roman" w:hAnsi="Times New Roman" w:cs="Times New Roman"/>
                <w:sz w:val="24"/>
                <w:szCs w:val="24"/>
                <w:lang w:val="en-GB"/>
              </w:rPr>
              <w:t xml:space="preserve"> book</w:t>
            </w:r>
            <w:r w:rsidR="00EA5E90" w:rsidRPr="00035583">
              <w:rPr>
                <w:rFonts w:ascii="Times New Roman" w:hAnsi="Times New Roman" w:cs="Times New Roman"/>
                <w:sz w:val="24"/>
                <w:szCs w:val="24"/>
                <w:lang w:val="en-GB"/>
              </w:rPr>
              <w:t>ing</w:t>
            </w:r>
            <w:r w:rsidR="009B0A17">
              <w:rPr>
                <w:rFonts w:ascii="Times New Roman" w:hAnsi="Times New Roman" w:cs="Times New Roman"/>
                <w:sz w:val="24"/>
                <w:szCs w:val="24"/>
                <w:lang w:val="en-GB"/>
              </w:rPr>
              <w:t>s</w:t>
            </w:r>
            <w:r w:rsidRPr="00035583">
              <w:rPr>
                <w:rFonts w:ascii="Times New Roman" w:hAnsi="Times New Roman" w:cs="Times New Roman"/>
                <w:sz w:val="24"/>
                <w:szCs w:val="24"/>
                <w:lang w:val="en-GB"/>
              </w:rPr>
              <w:t xml:space="preserve"> </w:t>
            </w:r>
            <w:r w:rsidR="00035583">
              <w:rPr>
                <w:rFonts w:ascii="Times New Roman" w:hAnsi="Times New Roman" w:cs="Times New Roman"/>
                <w:sz w:val="24"/>
                <w:szCs w:val="24"/>
                <w:lang w:val="en-GB"/>
              </w:rPr>
              <w:t xml:space="preserve">of </w:t>
            </w:r>
            <w:r w:rsidRPr="00035583">
              <w:rPr>
                <w:rFonts w:ascii="Times New Roman" w:hAnsi="Times New Roman" w:cs="Times New Roman"/>
                <w:sz w:val="24"/>
                <w:szCs w:val="24"/>
                <w:lang w:val="en-GB"/>
              </w:rPr>
              <w:t>firm capacity</w:t>
            </w:r>
            <w:r w:rsidR="00035583">
              <w:rPr>
                <w:rFonts w:ascii="Times New Roman" w:hAnsi="Times New Roman" w:cs="Times New Roman"/>
                <w:sz w:val="24"/>
                <w:szCs w:val="24"/>
                <w:lang w:val="en-GB"/>
              </w:rPr>
              <w:t xml:space="preserve"> products</w:t>
            </w:r>
            <w:r w:rsidRPr="00035583">
              <w:rPr>
                <w:rFonts w:ascii="Times New Roman" w:hAnsi="Times New Roman" w:cs="Times New Roman"/>
                <w:sz w:val="24"/>
                <w:szCs w:val="24"/>
                <w:lang w:val="en-GB"/>
              </w:rPr>
              <w:t xml:space="preserve"> remain </w:t>
            </w:r>
            <w:r w:rsidR="00035583" w:rsidRPr="00035583">
              <w:rPr>
                <w:rFonts w:ascii="Times New Roman" w:hAnsi="Times New Roman" w:cs="Times New Roman"/>
                <w:sz w:val="24"/>
                <w:szCs w:val="24"/>
                <w:lang w:val="en-GB"/>
              </w:rPr>
              <w:t>unchanged</w:t>
            </w:r>
            <w:r w:rsidRPr="00035583">
              <w:rPr>
                <w:rFonts w:ascii="Times New Roman" w:hAnsi="Times New Roman" w:cs="Times New Roman"/>
                <w:sz w:val="24"/>
                <w:szCs w:val="24"/>
                <w:lang w:val="en-GB"/>
              </w:rPr>
              <w:t xml:space="preserve">. Interruptible capacity is offered </w:t>
            </w:r>
            <w:r w:rsidR="00BA4D0B" w:rsidRPr="00035583">
              <w:rPr>
                <w:rFonts w:ascii="Times New Roman" w:hAnsi="Times New Roman" w:cs="Times New Roman"/>
                <w:sz w:val="24"/>
                <w:szCs w:val="24"/>
                <w:lang w:val="en-GB"/>
              </w:rPr>
              <w:t>as additional capacity</w:t>
            </w:r>
            <w:r w:rsidR="00EA5E90" w:rsidRPr="00035583">
              <w:rPr>
                <w:rFonts w:ascii="Times New Roman" w:hAnsi="Times New Roman" w:cs="Times New Roman"/>
                <w:sz w:val="24"/>
                <w:szCs w:val="24"/>
                <w:lang w:val="en-GB"/>
              </w:rPr>
              <w:t>, not as “diverted”</w:t>
            </w:r>
            <w:r w:rsidR="00BA4D0B" w:rsidRPr="00035583">
              <w:rPr>
                <w:rFonts w:ascii="Times New Roman" w:hAnsi="Times New Roman" w:cs="Times New Roman"/>
                <w:sz w:val="24"/>
                <w:szCs w:val="24"/>
                <w:lang w:val="en-GB"/>
              </w:rPr>
              <w:t>. Interruptible</w:t>
            </w:r>
            <w:r w:rsidR="00EA5E90" w:rsidRPr="00035583">
              <w:rPr>
                <w:rFonts w:ascii="Times New Roman" w:hAnsi="Times New Roman" w:cs="Times New Roman"/>
                <w:sz w:val="24"/>
                <w:szCs w:val="24"/>
                <w:lang w:val="en-GB"/>
              </w:rPr>
              <w:t xml:space="preserve"> capacity</w:t>
            </w:r>
            <w:r w:rsidR="00BA4D0B" w:rsidRPr="00035583">
              <w:rPr>
                <w:rFonts w:ascii="Times New Roman" w:hAnsi="Times New Roman" w:cs="Times New Roman"/>
                <w:sz w:val="24"/>
                <w:szCs w:val="24"/>
                <w:lang w:val="en-GB"/>
              </w:rPr>
              <w:t xml:space="preserve"> will be offered </w:t>
            </w:r>
            <w:r w:rsidR="00035583">
              <w:rPr>
                <w:rFonts w:ascii="Times New Roman" w:hAnsi="Times New Roman" w:cs="Times New Roman"/>
                <w:sz w:val="24"/>
                <w:szCs w:val="24"/>
                <w:lang w:val="en-GB"/>
              </w:rPr>
              <w:t>and can be booked</w:t>
            </w:r>
            <w:r w:rsidR="00EA5E90" w:rsidRPr="00035583">
              <w:rPr>
                <w:rFonts w:ascii="Times New Roman" w:hAnsi="Times New Roman" w:cs="Times New Roman"/>
                <w:sz w:val="24"/>
                <w:szCs w:val="24"/>
                <w:lang w:val="en-GB"/>
              </w:rPr>
              <w:t xml:space="preserve"> from beginning of gas day D-1, as stated in </w:t>
            </w:r>
            <w:r w:rsidR="00BA4D0B" w:rsidRPr="00035583">
              <w:rPr>
                <w:rFonts w:ascii="Times New Roman" w:hAnsi="Times New Roman" w:cs="Times New Roman"/>
                <w:sz w:val="24"/>
                <w:szCs w:val="24"/>
                <w:lang w:val="en-GB"/>
              </w:rPr>
              <w:t>sub-paragraph</w:t>
            </w:r>
            <w:r w:rsidR="00EA5E90" w:rsidRPr="00035583">
              <w:rPr>
                <w:rFonts w:ascii="Times New Roman" w:hAnsi="Times New Roman" w:cs="Times New Roman"/>
                <w:sz w:val="24"/>
                <w:szCs w:val="24"/>
                <w:lang w:val="en-GB"/>
              </w:rPr>
              <w:t xml:space="preserve"> </w:t>
            </w:r>
            <w:r w:rsidR="00BA4D0B" w:rsidRPr="00035583">
              <w:rPr>
                <w:rFonts w:ascii="Times New Roman" w:hAnsi="Times New Roman" w:cs="Times New Roman"/>
                <w:sz w:val="24"/>
                <w:szCs w:val="24"/>
                <w:lang w:val="en-GB"/>
              </w:rPr>
              <w:t>4.7.51.1.</w:t>
            </w:r>
            <w:r w:rsidR="00035583">
              <w:rPr>
                <w:rFonts w:ascii="Times New Roman" w:hAnsi="Times New Roman" w:cs="Times New Roman"/>
                <w:sz w:val="24"/>
                <w:szCs w:val="24"/>
                <w:lang w:val="en-GB"/>
              </w:rPr>
              <w:t>(</w:t>
            </w:r>
            <w:r w:rsidR="00BA4D0B" w:rsidRPr="00035583">
              <w:rPr>
                <w:rFonts w:ascii="Times New Roman" w:hAnsi="Times New Roman" w:cs="Times New Roman"/>
                <w:sz w:val="24"/>
                <w:szCs w:val="24"/>
                <w:lang w:val="en-GB"/>
              </w:rPr>
              <w:t>e)</w:t>
            </w:r>
            <w:r w:rsidR="00411943" w:rsidRPr="00035583">
              <w:rPr>
                <w:rFonts w:ascii="Times New Roman" w:hAnsi="Times New Roman" w:cs="Times New Roman"/>
                <w:sz w:val="24"/>
                <w:szCs w:val="24"/>
                <w:lang w:val="en-GB"/>
              </w:rPr>
              <w:t xml:space="preserve"> of proposed amendments</w:t>
            </w:r>
            <w:r w:rsidR="00EA5E90" w:rsidRPr="00035583">
              <w:rPr>
                <w:rFonts w:ascii="Times New Roman" w:hAnsi="Times New Roman" w:cs="Times New Roman"/>
                <w:sz w:val="24"/>
                <w:szCs w:val="24"/>
                <w:lang w:val="en-GB"/>
              </w:rPr>
              <w:t xml:space="preserve">. </w:t>
            </w:r>
            <w:r w:rsidR="00035583">
              <w:rPr>
                <w:rFonts w:ascii="Times New Roman" w:hAnsi="Times New Roman" w:cs="Times New Roman"/>
                <w:sz w:val="24"/>
                <w:szCs w:val="24"/>
                <w:lang w:val="en-GB"/>
              </w:rPr>
              <w:t>Transmission system user</w:t>
            </w:r>
            <w:r w:rsidR="00857FA4">
              <w:rPr>
                <w:rFonts w:ascii="Times New Roman" w:hAnsi="Times New Roman" w:cs="Times New Roman"/>
                <w:sz w:val="24"/>
                <w:szCs w:val="24"/>
                <w:lang w:val="en-GB"/>
              </w:rPr>
              <w:t>,</w:t>
            </w:r>
            <w:r w:rsidR="00035583">
              <w:rPr>
                <w:rFonts w:ascii="Times New Roman" w:hAnsi="Times New Roman" w:cs="Times New Roman"/>
                <w:sz w:val="24"/>
                <w:szCs w:val="24"/>
                <w:lang w:val="en-GB"/>
              </w:rPr>
              <w:t xml:space="preserve"> who has booked f</w:t>
            </w:r>
            <w:r w:rsidR="00EA5E90" w:rsidRPr="00035583">
              <w:rPr>
                <w:rFonts w:ascii="Times New Roman" w:hAnsi="Times New Roman" w:cs="Times New Roman"/>
                <w:sz w:val="24"/>
                <w:szCs w:val="24"/>
                <w:lang w:val="en-GB"/>
              </w:rPr>
              <w:t>irm capacity</w:t>
            </w:r>
            <w:r w:rsidR="00857FA4">
              <w:rPr>
                <w:rFonts w:ascii="Times New Roman" w:hAnsi="Times New Roman" w:cs="Times New Roman"/>
                <w:sz w:val="24"/>
                <w:szCs w:val="24"/>
                <w:lang w:val="en-GB"/>
              </w:rPr>
              <w:t xml:space="preserve">, </w:t>
            </w:r>
            <w:r w:rsidR="00035583">
              <w:rPr>
                <w:rFonts w:ascii="Times New Roman" w:hAnsi="Times New Roman" w:cs="Times New Roman"/>
                <w:sz w:val="24"/>
                <w:szCs w:val="24"/>
                <w:lang w:val="en-GB"/>
              </w:rPr>
              <w:t>shall keep the right</w:t>
            </w:r>
            <w:r w:rsidR="00EA5E90" w:rsidRPr="00035583">
              <w:rPr>
                <w:rFonts w:ascii="Times New Roman" w:hAnsi="Times New Roman" w:cs="Times New Roman"/>
                <w:sz w:val="24"/>
                <w:szCs w:val="24"/>
                <w:lang w:val="en-GB"/>
              </w:rPr>
              <w:t xml:space="preserve"> to re</w:t>
            </w:r>
            <w:r w:rsidR="00035583">
              <w:rPr>
                <w:rFonts w:ascii="Times New Roman" w:hAnsi="Times New Roman" w:cs="Times New Roman"/>
                <w:sz w:val="24"/>
                <w:szCs w:val="24"/>
                <w:lang w:val="en-GB"/>
              </w:rPr>
              <w:t>-</w:t>
            </w:r>
            <w:r w:rsidR="00EA5E90" w:rsidRPr="00035583">
              <w:rPr>
                <w:rFonts w:ascii="Times New Roman" w:hAnsi="Times New Roman" w:cs="Times New Roman"/>
                <w:sz w:val="24"/>
                <w:szCs w:val="24"/>
                <w:lang w:val="en-GB"/>
              </w:rPr>
              <w:t xml:space="preserve">nominate unused </w:t>
            </w:r>
            <w:r w:rsidR="00035583">
              <w:rPr>
                <w:rFonts w:ascii="Times New Roman" w:hAnsi="Times New Roman" w:cs="Times New Roman"/>
                <w:sz w:val="24"/>
                <w:szCs w:val="24"/>
                <w:lang w:val="en-GB"/>
              </w:rPr>
              <w:t xml:space="preserve">booked </w:t>
            </w:r>
            <w:r w:rsidR="00EA5E90" w:rsidRPr="00035583">
              <w:rPr>
                <w:rFonts w:ascii="Times New Roman" w:hAnsi="Times New Roman" w:cs="Times New Roman"/>
                <w:sz w:val="24"/>
                <w:szCs w:val="24"/>
                <w:lang w:val="en-GB"/>
              </w:rPr>
              <w:t>capacity.</w:t>
            </w:r>
          </w:p>
        </w:tc>
      </w:tr>
      <w:tr w:rsidR="006009C5" w:rsidRPr="00562C3A" w14:paraId="3857AB70" w14:textId="77777777" w:rsidTr="006009C5">
        <w:tc>
          <w:tcPr>
            <w:tcW w:w="0" w:type="auto"/>
          </w:tcPr>
          <w:p w14:paraId="49F055A6" w14:textId="77777777" w:rsidR="006009C5" w:rsidRPr="00562C3A" w:rsidRDefault="006009C5" w:rsidP="006009C5">
            <w:pPr>
              <w:pStyle w:val="ListParagraph"/>
              <w:numPr>
                <w:ilvl w:val="0"/>
                <w:numId w:val="3"/>
              </w:numPr>
              <w:ind w:left="308" w:hanging="372"/>
              <w:rPr>
                <w:rFonts w:ascii="Times New Roman" w:hAnsi="Times New Roman" w:cs="Times New Roman"/>
                <w:sz w:val="24"/>
                <w:szCs w:val="24"/>
                <w:lang w:val="en-GB"/>
              </w:rPr>
            </w:pPr>
          </w:p>
        </w:tc>
        <w:tc>
          <w:tcPr>
            <w:tcW w:w="4459" w:type="dxa"/>
          </w:tcPr>
          <w:p w14:paraId="2412A6FC" w14:textId="728B2B1B" w:rsidR="006009C5" w:rsidRPr="00035583" w:rsidRDefault="00411943" w:rsidP="006009C5">
            <w:pPr>
              <w:rPr>
                <w:rFonts w:ascii="Times New Roman" w:hAnsi="Times New Roman" w:cs="Times New Roman"/>
                <w:i/>
                <w:iCs/>
                <w:sz w:val="24"/>
                <w:szCs w:val="24"/>
                <w:lang w:val="en-GB"/>
              </w:rPr>
            </w:pPr>
            <w:r w:rsidRPr="00035583">
              <w:rPr>
                <w:rFonts w:ascii="Times New Roman" w:hAnsi="Times New Roman" w:cs="Times New Roman"/>
                <w:i/>
                <w:iCs/>
                <w:sz w:val="24"/>
                <w:szCs w:val="24"/>
                <w:lang w:val="en-GB"/>
              </w:rPr>
              <w:t>n/a</w:t>
            </w:r>
          </w:p>
        </w:tc>
        <w:tc>
          <w:tcPr>
            <w:tcW w:w="4459" w:type="dxa"/>
          </w:tcPr>
          <w:p w14:paraId="7A9CD7AD" w14:textId="4632BF40" w:rsidR="006009C5" w:rsidRPr="00035583" w:rsidRDefault="006009C5" w:rsidP="006009C5">
            <w:pPr>
              <w:rPr>
                <w:rFonts w:ascii="Times New Roman" w:hAnsi="Times New Roman" w:cs="Times New Roman"/>
                <w:i/>
                <w:iCs/>
                <w:sz w:val="24"/>
                <w:szCs w:val="24"/>
                <w:lang w:val="en-GB"/>
              </w:rPr>
            </w:pPr>
            <w:r w:rsidRPr="00035583">
              <w:rPr>
                <w:rFonts w:ascii="Times New Roman" w:hAnsi="Times New Roman" w:cs="Times New Roman"/>
                <w:sz w:val="24"/>
                <w:szCs w:val="24"/>
                <w:lang w:val="en-GB"/>
              </w:rPr>
              <w:t>We also ask for an explanation of the settlement obligation (for the initial owner of capacities) and procedure in respect of the transmission capacities booked but not used if those have been diverted to the free market as a day-ahead or intra-day interruptible capacity product.</w:t>
            </w:r>
          </w:p>
        </w:tc>
        <w:tc>
          <w:tcPr>
            <w:tcW w:w="4460" w:type="dxa"/>
          </w:tcPr>
          <w:p w14:paraId="6E0B08A6" w14:textId="287149B4" w:rsidR="006009C5" w:rsidRPr="00035583" w:rsidRDefault="00EA5E90" w:rsidP="006009C5">
            <w:pPr>
              <w:rPr>
                <w:rFonts w:ascii="Times New Roman" w:hAnsi="Times New Roman" w:cs="Times New Roman"/>
                <w:sz w:val="24"/>
                <w:szCs w:val="24"/>
                <w:lang w:val="en-GB"/>
              </w:rPr>
            </w:pPr>
            <w:r w:rsidRPr="00035583">
              <w:rPr>
                <w:rFonts w:ascii="Times New Roman" w:hAnsi="Times New Roman" w:cs="Times New Roman"/>
                <w:sz w:val="24"/>
                <w:szCs w:val="24"/>
                <w:lang w:val="en-GB"/>
              </w:rPr>
              <w:t xml:space="preserve">As the </w:t>
            </w:r>
            <w:r w:rsidR="009B0A17">
              <w:rPr>
                <w:rFonts w:ascii="Times New Roman" w:hAnsi="Times New Roman" w:cs="Times New Roman"/>
                <w:sz w:val="24"/>
                <w:szCs w:val="24"/>
                <w:lang w:val="en-GB"/>
              </w:rPr>
              <w:t>TSO</w:t>
            </w:r>
            <w:r w:rsidR="00857FA4">
              <w:rPr>
                <w:rFonts w:ascii="Times New Roman" w:hAnsi="Times New Roman" w:cs="Times New Roman"/>
                <w:sz w:val="24"/>
                <w:szCs w:val="24"/>
                <w:lang w:val="en-GB"/>
              </w:rPr>
              <w:t>s</w:t>
            </w:r>
            <w:r w:rsidR="009B0A17">
              <w:rPr>
                <w:rFonts w:ascii="Times New Roman" w:hAnsi="Times New Roman" w:cs="Times New Roman"/>
                <w:sz w:val="24"/>
                <w:szCs w:val="24"/>
                <w:lang w:val="en-GB"/>
              </w:rPr>
              <w:t xml:space="preserve"> proposed amendment of </w:t>
            </w:r>
            <w:r w:rsidRPr="00035583">
              <w:rPr>
                <w:rFonts w:ascii="Times New Roman" w:hAnsi="Times New Roman" w:cs="Times New Roman"/>
                <w:sz w:val="24"/>
                <w:szCs w:val="24"/>
                <w:lang w:val="en-GB"/>
              </w:rPr>
              <w:t xml:space="preserve">offering the interruptible capacity </w:t>
            </w:r>
            <w:r w:rsidR="009B0A17">
              <w:rPr>
                <w:rFonts w:ascii="Times New Roman" w:hAnsi="Times New Roman" w:cs="Times New Roman"/>
                <w:sz w:val="24"/>
                <w:szCs w:val="24"/>
                <w:lang w:val="en-GB"/>
              </w:rPr>
              <w:t>does not</w:t>
            </w:r>
            <w:r w:rsidR="009B0A17" w:rsidRPr="00035583">
              <w:rPr>
                <w:rFonts w:ascii="Times New Roman" w:hAnsi="Times New Roman" w:cs="Times New Roman"/>
                <w:sz w:val="24"/>
                <w:szCs w:val="24"/>
                <w:lang w:val="en-GB"/>
              </w:rPr>
              <w:t xml:space="preserve"> </w:t>
            </w:r>
            <w:r w:rsidRPr="00035583">
              <w:rPr>
                <w:rFonts w:ascii="Times New Roman" w:hAnsi="Times New Roman" w:cs="Times New Roman"/>
                <w:sz w:val="24"/>
                <w:szCs w:val="24"/>
                <w:lang w:val="en-GB"/>
              </w:rPr>
              <w:t xml:space="preserve">in </w:t>
            </w:r>
            <w:r w:rsidR="009B0A17">
              <w:rPr>
                <w:rFonts w:ascii="Times New Roman" w:hAnsi="Times New Roman" w:cs="Times New Roman"/>
                <w:sz w:val="24"/>
                <w:szCs w:val="24"/>
                <w:lang w:val="en-GB"/>
              </w:rPr>
              <w:t>any</w:t>
            </w:r>
            <w:r w:rsidRPr="00035583">
              <w:rPr>
                <w:rFonts w:ascii="Times New Roman" w:hAnsi="Times New Roman" w:cs="Times New Roman"/>
                <w:sz w:val="24"/>
                <w:szCs w:val="24"/>
                <w:lang w:val="en-GB"/>
              </w:rPr>
              <w:t xml:space="preserve"> way affect </w:t>
            </w:r>
            <w:r w:rsidR="009B0A17">
              <w:rPr>
                <w:rFonts w:ascii="Times New Roman" w:hAnsi="Times New Roman" w:cs="Times New Roman"/>
                <w:sz w:val="24"/>
                <w:szCs w:val="24"/>
                <w:lang w:val="en-GB"/>
              </w:rPr>
              <w:t xml:space="preserve">already booked firm capacity </w:t>
            </w:r>
            <w:r w:rsidR="009B0A17" w:rsidRPr="00035583">
              <w:rPr>
                <w:rFonts w:ascii="Times New Roman" w:hAnsi="Times New Roman" w:cs="Times New Roman"/>
                <w:sz w:val="24"/>
                <w:szCs w:val="24"/>
                <w:lang w:val="en-GB"/>
              </w:rPr>
              <w:t>owners’</w:t>
            </w:r>
            <w:r w:rsidRPr="00035583">
              <w:rPr>
                <w:rFonts w:ascii="Times New Roman" w:hAnsi="Times New Roman" w:cs="Times New Roman"/>
                <w:sz w:val="24"/>
                <w:szCs w:val="24"/>
                <w:lang w:val="en-GB"/>
              </w:rPr>
              <w:t xml:space="preserve"> </w:t>
            </w:r>
            <w:r w:rsidR="009B0A17">
              <w:rPr>
                <w:rFonts w:ascii="Times New Roman" w:hAnsi="Times New Roman" w:cs="Times New Roman"/>
                <w:sz w:val="24"/>
                <w:szCs w:val="24"/>
                <w:lang w:val="en-GB"/>
              </w:rPr>
              <w:t>rights</w:t>
            </w:r>
            <w:r w:rsidRPr="00035583">
              <w:rPr>
                <w:rFonts w:ascii="Times New Roman" w:hAnsi="Times New Roman" w:cs="Times New Roman"/>
                <w:sz w:val="24"/>
                <w:szCs w:val="24"/>
                <w:lang w:val="en-GB"/>
              </w:rPr>
              <w:t xml:space="preserve">, the settlement obligation for firm </w:t>
            </w:r>
            <w:r w:rsidR="009B0A17">
              <w:rPr>
                <w:rFonts w:ascii="Times New Roman" w:hAnsi="Times New Roman" w:cs="Times New Roman"/>
                <w:sz w:val="24"/>
                <w:szCs w:val="24"/>
                <w:lang w:val="en-GB"/>
              </w:rPr>
              <w:t xml:space="preserve">booked </w:t>
            </w:r>
            <w:r w:rsidRPr="00035583">
              <w:rPr>
                <w:rFonts w:ascii="Times New Roman" w:hAnsi="Times New Roman" w:cs="Times New Roman"/>
                <w:sz w:val="24"/>
                <w:szCs w:val="24"/>
                <w:lang w:val="en-GB"/>
              </w:rPr>
              <w:t xml:space="preserve">capacity </w:t>
            </w:r>
            <w:r w:rsidR="009B0A17">
              <w:rPr>
                <w:rFonts w:ascii="Times New Roman" w:hAnsi="Times New Roman" w:cs="Times New Roman"/>
                <w:sz w:val="24"/>
                <w:szCs w:val="24"/>
                <w:lang w:val="en-GB"/>
              </w:rPr>
              <w:t>remains also unchanged</w:t>
            </w:r>
            <w:r w:rsidRPr="00035583">
              <w:rPr>
                <w:rFonts w:ascii="Times New Roman" w:hAnsi="Times New Roman" w:cs="Times New Roman"/>
                <w:sz w:val="24"/>
                <w:szCs w:val="24"/>
                <w:lang w:val="en-GB"/>
              </w:rPr>
              <w:t>.</w:t>
            </w:r>
          </w:p>
        </w:tc>
      </w:tr>
      <w:tr w:rsidR="006009C5" w:rsidRPr="00562C3A" w14:paraId="3E0E13B6" w14:textId="77777777" w:rsidTr="006009C5">
        <w:tc>
          <w:tcPr>
            <w:tcW w:w="0" w:type="auto"/>
          </w:tcPr>
          <w:p w14:paraId="7C88F73E" w14:textId="77777777" w:rsidR="006009C5" w:rsidRPr="00562C3A" w:rsidRDefault="006009C5" w:rsidP="006009C5">
            <w:pPr>
              <w:pStyle w:val="ListParagraph"/>
              <w:numPr>
                <w:ilvl w:val="0"/>
                <w:numId w:val="3"/>
              </w:numPr>
              <w:ind w:left="308" w:hanging="372"/>
              <w:rPr>
                <w:rFonts w:ascii="Times New Roman" w:hAnsi="Times New Roman" w:cs="Times New Roman"/>
                <w:sz w:val="24"/>
                <w:szCs w:val="24"/>
                <w:lang w:val="en-GB"/>
              </w:rPr>
            </w:pPr>
          </w:p>
        </w:tc>
        <w:tc>
          <w:tcPr>
            <w:tcW w:w="4459" w:type="dxa"/>
          </w:tcPr>
          <w:p w14:paraId="2D81FA7D" w14:textId="63CF4E11" w:rsidR="006009C5" w:rsidRPr="00035583" w:rsidRDefault="00411943" w:rsidP="008D04FD">
            <w:pPr>
              <w:shd w:val="clear" w:color="auto" w:fill="FFFFFF" w:themeFill="background1"/>
              <w:spacing w:after="120"/>
              <w:rPr>
                <w:rFonts w:ascii="Times New Roman" w:eastAsia="Times New Roman" w:hAnsi="Times New Roman" w:cs="Times New Roman"/>
                <w:color w:val="000000" w:themeColor="text1"/>
                <w:sz w:val="24"/>
                <w:szCs w:val="24"/>
                <w:lang w:val="en-GB" w:eastAsia="en-GB"/>
              </w:rPr>
            </w:pPr>
            <w:r w:rsidRPr="00035583">
              <w:rPr>
                <w:rFonts w:ascii="Times New Roman" w:eastAsia="Times New Roman" w:hAnsi="Times New Roman" w:cs="Times New Roman"/>
                <w:color w:val="000000" w:themeColor="text1"/>
                <w:sz w:val="24"/>
                <w:szCs w:val="24"/>
                <w:lang w:val="en-GB" w:eastAsia="en-GB"/>
              </w:rPr>
              <w:t xml:space="preserve">“6.1 A network user who has booked the firm capacity products may agree with </w:t>
            </w:r>
            <w:r w:rsidRPr="00035583">
              <w:rPr>
                <w:rFonts w:ascii="Times New Roman" w:eastAsia="Times New Roman" w:hAnsi="Times New Roman" w:cs="Times New Roman"/>
                <w:color w:val="000000" w:themeColor="text1"/>
                <w:sz w:val="24"/>
                <w:szCs w:val="24"/>
                <w:lang w:val="en-GB" w:eastAsia="en-GB"/>
              </w:rPr>
              <w:lastRenderedPageBreak/>
              <w:t xml:space="preserve">another network user and transfer right to use the firm capacity product or part of it. Secondary capacity trading shall be restricted to transfer of rights to use capacity of an entry/exit point for a specific </w:t>
            </w:r>
            <w:proofErr w:type="gramStart"/>
            <w:r w:rsidRPr="00035583">
              <w:rPr>
                <w:rFonts w:ascii="Times New Roman" w:eastAsia="Times New Roman" w:hAnsi="Times New Roman" w:cs="Times New Roman"/>
                <w:color w:val="000000" w:themeColor="text1"/>
                <w:sz w:val="24"/>
                <w:szCs w:val="24"/>
                <w:lang w:val="en-GB" w:eastAsia="en-GB"/>
              </w:rPr>
              <w:t>time period</w:t>
            </w:r>
            <w:proofErr w:type="gramEnd"/>
            <w:r w:rsidRPr="00035583">
              <w:rPr>
                <w:rFonts w:ascii="Times New Roman" w:eastAsia="Times New Roman" w:hAnsi="Times New Roman" w:cs="Times New Roman"/>
                <w:color w:val="000000" w:themeColor="text1"/>
                <w:sz w:val="24"/>
                <w:szCs w:val="24"/>
                <w:lang w:val="en-GB" w:eastAsia="en-GB"/>
              </w:rPr>
              <w:t>. Obligations arising from the booked capacity product, including, but not limited to, obligation to pay the TSO for the booked capacity product, shall not be transferred and shall maintain with the network user intending to transfer the booked capacity product. A network user by transferring right to use the capacity product or part of it loses its right to surrender the transferred capacity.”</w:t>
            </w:r>
          </w:p>
        </w:tc>
        <w:tc>
          <w:tcPr>
            <w:tcW w:w="4459" w:type="dxa"/>
          </w:tcPr>
          <w:p w14:paraId="69E42F44" w14:textId="77777777" w:rsidR="006009C5" w:rsidRPr="00035583" w:rsidRDefault="006009C5" w:rsidP="00035583">
            <w:pPr>
              <w:rPr>
                <w:rFonts w:ascii="Times New Roman" w:hAnsi="Times New Roman" w:cs="Times New Roman"/>
                <w:sz w:val="24"/>
                <w:szCs w:val="24"/>
                <w:lang w:val="en-GB"/>
              </w:rPr>
            </w:pPr>
            <w:r w:rsidRPr="00035583">
              <w:rPr>
                <w:rFonts w:ascii="Times New Roman" w:hAnsi="Times New Roman" w:cs="Times New Roman"/>
                <w:sz w:val="24"/>
                <w:szCs w:val="24"/>
                <w:lang w:val="en-GB"/>
              </w:rPr>
              <w:lastRenderedPageBreak/>
              <w:t xml:space="preserve">We also ask for an explanation of the phrase “to surrender the transferred </w:t>
            </w:r>
            <w:r w:rsidRPr="00035583">
              <w:rPr>
                <w:rFonts w:ascii="Times New Roman" w:hAnsi="Times New Roman" w:cs="Times New Roman"/>
                <w:sz w:val="24"/>
                <w:szCs w:val="24"/>
                <w:lang w:val="en-GB"/>
              </w:rPr>
              <w:lastRenderedPageBreak/>
              <w:t>capacity” in the addition made to Article 6.1 of the draft Amendments – “A network user by transferring right to use the capacity product or part of it loses its right to surrender the transferred capacity”.</w:t>
            </w:r>
          </w:p>
          <w:p w14:paraId="6E7355B7" w14:textId="63E9A00A" w:rsidR="006009C5" w:rsidRPr="00035583" w:rsidRDefault="006009C5" w:rsidP="00EA5E90">
            <w:pPr>
              <w:rPr>
                <w:rFonts w:ascii="Times New Roman" w:hAnsi="Times New Roman" w:cs="Times New Roman"/>
                <w:sz w:val="24"/>
                <w:szCs w:val="24"/>
                <w:lang w:val="en-GB"/>
              </w:rPr>
            </w:pPr>
          </w:p>
        </w:tc>
        <w:tc>
          <w:tcPr>
            <w:tcW w:w="4460" w:type="dxa"/>
          </w:tcPr>
          <w:p w14:paraId="59AC322F" w14:textId="4EFCFF1A" w:rsidR="006009C5" w:rsidRPr="00035583" w:rsidRDefault="009B0A17" w:rsidP="006009C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C</w:t>
            </w:r>
            <w:r w:rsidRPr="00035583">
              <w:rPr>
                <w:rFonts w:ascii="Times New Roman" w:hAnsi="Times New Roman" w:cs="Times New Roman"/>
                <w:sz w:val="24"/>
                <w:szCs w:val="24"/>
                <w:lang w:val="en-GB"/>
              </w:rPr>
              <w:t xml:space="preserve">apacity </w:t>
            </w:r>
            <w:r>
              <w:rPr>
                <w:rFonts w:ascii="Times New Roman" w:hAnsi="Times New Roman" w:cs="Times New Roman"/>
                <w:sz w:val="24"/>
                <w:szCs w:val="24"/>
                <w:lang w:val="en-GB"/>
              </w:rPr>
              <w:t>s</w:t>
            </w:r>
            <w:r w:rsidR="00EA5E90" w:rsidRPr="00035583">
              <w:rPr>
                <w:rFonts w:ascii="Times New Roman" w:hAnsi="Times New Roman" w:cs="Times New Roman"/>
                <w:sz w:val="24"/>
                <w:szCs w:val="24"/>
                <w:lang w:val="en-GB"/>
              </w:rPr>
              <w:t>urrender</w:t>
            </w:r>
            <w:r>
              <w:rPr>
                <w:rFonts w:ascii="Times New Roman" w:hAnsi="Times New Roman" w:cs="Times New Roman"/>
                <w:sz w:val="24"/>
                <w:szCs w:val="24"/>
                <w:lang w:val="en-GB"/>
              </w:rPr>
              <w:t>ing</w:t>
            </w:r>
            <w:r w:rsidR="00EA5E90" w:rsidRPr="00035583">
              <w:rPr>
                <w:rFonts w:ascii="Times New Roman" w:hAnsi="Times New Roman" w:cs="Times New Roman"/>
                <w:sz w:val="24"/>
                <w:szCs w:val="24"/>
                <w:lang w:val="en-GB"/>
              </w:rPr>
              <w:t xml:space="preserve"> process is described</w:t>
            </w:r>
            <w:r w:rsidR="00470D47" w:rsidRPr="00035583">
              <w:rPr>
                <w:rFonts w:ascii="Times New Roman" w:hAnsi="Times New Roman" w:cs="Times New Roman"/>
                <w:sz w:val="24"/>
                <w:szCs w:val="24"/>
                <w:lang w:val="en-GB"/>
              </w:rPr>
              <w:t xml:space="preserve"> </w:t>
            </w:r>
            <w:r w:rsidR="00E61195" w:rsidRPr="00035583">
              <w:rPr>
                <w:rFonts w:ascii="Times New Roman" w:hAnsi="Times New Roman" w:cs="Times New Roman"/>
                <w:sz w:val="24"/>
                <w:szCs w:val="24"/>
                <w:lang w:val="en-GB"/>
              </w:rPr>
              <w:t>in sub-paragraph</w:t>
            </w:r>
            <w:r w:rsidR="00470D47" w:rsidRPr="00035583">
              <w:rPr>
                <w:rFonts w:ascii="Times New Roman" w:hAnsi="Times New Roman" w:cs="Times New Roman"/>
                <w:sz w:val="24"/>
                <w:szCs w:val="24"/>
                <w:lang w:val="en-GB"/>
              </w:rPr>
              <w:t xml:space="preserve"> 5.3. of the Common </w:t>
            </w:r>
            <w:r w:rsidR="00470D47" w:rsidRPr="00035583">
              <w:rPr>
                <w:rFonts w:ascii="Times New Roman" w:hAnsi="Times New Roman" w:cs="Times New Roman"/>
                <w:sz w:val="24"/>
                <w:szCs w:val="24"/>
                <w:lang w:val="en-GB"/>
              </w:rPr>
              <w:lastRenderedPageBreak/>
              <w:t>Regulations for the Use of Natural Gas Transmission System</w:t>
            </w:r>
            <w:r w:rsidR="00E61195" w:rsidRPr="00035583">
              <w:rPr>
                <w:rFonts w:ascii="Times New Roman" w:hAnsi="Times New Roman" w:cs="Times New Roman"/>
                <w:sz w:val="24"/>
                <w:szCs w:val="24"/>
                <w:lang w:val="en-GB"/>
              </w:rPr>
              <w:t>.</w:t>
            </w:r>
            <w:r w:rsidR="00623275" w:rsidRPr="00035583">
              <w:rPr>
                <w:rFonts w:ascii="Times New Roman" w:hAnsi="Times New Roman" w:cs="Times New Roman"/>
                <w:sz w:val="24"/>
                <w:szCs w:val="24"/>
                <w:lang w:val="en-GB"/>
              </w:rPr>
              <w:t xml:space="preserve"> The </w:t>
            </w:r>
            <w:r w:rsidR="00857FA4">
              <w:rPr>
                <w:rFonts w:ascii="Times New Roman" w:hAnsi="Times New Roman" w:cs="Times New Roman"/>
                <w:sz w:val="24"/>
                <w:szCs w:val="24"/>
                <w:lang w:val="en-GB"/>
              </w:rPr>
              <w:t xml:space="preserve">TSOs proposed </w:t>
            </w:r>
            <w:r w:rsidR="00623275" w:rsidRPr="00035583">
              <w:rPr>
                <w:rFonts w:ascii="Times New Roman" w:hAnsi="Times New Roman" w:cs="Times New Roman"/>
                <w:sz w:val="24"/>
                <w:szCs w:val="24"/>
                <w:lang w:val="en-GB"/>
              </w:rPr>
              <w:t xml:space="preserve">amendment is clarification to avoid possible capacity surrender </w:t>
            </w:r>
            <w:r>
              <w:rPr>
                <w:rFonts w:ascii="Times New Roman" w:hAnsi="Times New Roman" w:cs="Times New Roman"/>
                <w:sz w:val="24"/>
                <w:szCs w:val="24"/>
                <w:lang w:val="en-GB"/>
              </w:rPr>
              <w:t>applications</w:t>
            </w:r>
            <w:r w:rsidRPr="00035583">
              <w:rPr>
                <w:rFonts w:ascii="Times New Roman" w:hAnsi="Times New Roman" w:cs="Times New Roman"/>
                <w:sz w:val="24"/>
                <w:szCs w:val="24"/>
                <w:lang w:val="en-GB"/>
              </w:rPr>
              <w:t xml:space="preserve"> </w:t>
            </w:r>
            <w:r w:rsidR="00623275" w:rsidRPr="00035583">
              <w:rPr>
                <w:rFonts w:ascii="Times New Roman" w:hAnsi="Times New Roman" w:cs="Times New Roman"/>
                <w:sz w:val="24"/>
                <w:szCs w:val="24"/>
                <w:lang w:val="en-GB"/>
              </w:rPr>
              <w:t>from</w:t>
            </w:r>
            <w:r>
              <w:rPr>
                <w:rFonts w:ascii="Times New Roman" w:hAnsi="Times New Roman" w:cs="Times New Roman"/>
                <w:sz w:val="24"/>
                <w:szCs w:val="24"/>
                <w:lang w:val="en-GB"/>
              </w:rPr>
              <w:t xml:space="preserve"> the</w:t>
            </w:r>
            <w:r w:rsidR="00623275" w:rsidRPr="00035583">
              <w:rPr>
                <w:rFonts w:ascii="Times New Roman" w:hAnsi="Times New Roman" w:cs="Times New Roman"/>
                <w:sz w:val="24"/>
                <w:szCs w:val="24"/>
                <w:lang w:val="en-GB"/>
              </w:rPr>
              <w:t xml:space="preserve"> initial capacity </w:t>
            </w:r>
            <w:r>
              <w:rPr>
                <w:rFonts w:ascii="Times New Roman" w:hAnsi="Times New Roman" w:cs="Times New Roman"/>
                <w:sz w:val="24"/>
                <w:szCs w:val="24"/>
                <w:lang w:val="en-GB"/>
              </w:rPr>
              <w:t xml:space="preserve">owner. If capacity is traded on the </w:t>
            </w:r>
            <w:r w:rsidR="00623275" w:rsidRPr="00035583">
              <w:rPr>
                <w:rFonts w:ascii="Times New Roman" w:hAnsi="Times New Roman" w:cs="Times New Roman"/>
                <w:sz w:val="24"/>
                <w:szCs w:val="24"/>
                <w:lang w:val="en-GB"/>
              </w:rPr>
              <w:t xml:space="preserve">secondary market </w:t>
            </w:r>
            <w:r>
              <w:rPr>
                <w:rFonts w:ascii="Times New Roman" w:hAnsi="Times New Roman" w:cs="Times New Roman"/>
                <w:sz w:val="24"/>
                <w:szCs w:val="24"/>
                <w:lang w:val="en-GB"/>
              </w:rPr>
              <w:t>and the rights to use the capacity has been transferred</w:t>
            </w:r>
            <w:r w:rsidR="00857FA4">
              <w:rPr>
                <w:rFonts w:ascii="Times New Roman" w:hAnsi="Times New Roman" w:cs="Times New Roman"/>
                <w:sz w:val="24"/>
                <w:szCs w:val="24"/>
                <w:lang w:val="en-GB"/>
              </w:rPr>
              <w:t>,</w:t>
            </w:r>
            <w:r>
              <w:rPr>
                <w:rFonts w:ascii="Times New Roman" w:hAnsi="Times New Roman" w:cs="Times New Roman"/>
                <w:sz w:val="24"/>
                <w:szCs w:val="24"/>
                <w:lang w:val="en-GB"/>
              </w:rPr>
              <w:t xml:space="preserve"> the capacity cannot be surrendered any more</w:t>
            </w:r>
            <w:r w:rsidR="00623275" w:rsidRPr="00035583">
              <w:rPr>
                <w:rFonts w:ascii="Times New Roman" w:hAnsi="Times New Roman" w:cs="Times New Roman"/>
                <w:sz w:val="24"/>
                <w:szCs w:val="24"/>
                <w:lang w:val="en-GB"/>
              </w:rPr>
              <w:t>.</w:t>
            </w:r>
          </w:p>
        </w:tc>
      </w:tr>
      <w:tr w:rsidR="006009C5" w:rsidRPr="00562C3A" w14:paraId="17E129F9" w14:textId="77777777" w:rsidTr="006009C5">
        <w:tc>
          <w:tcPr>
            <w:tcW w:w="0" w:type="auto"/>
          </w:tcPr>
          <w:p w14:paraId="0EAE9AF9" w14:textId="77777777" w:rsidR="006009C5" w:rsidRPr="00562C3A" w:rsidRDefault="006009C5" w:rsidP="006009C5">
            <w:pPr>
              <w:pStyle w:val="ListParagraph"/>
              <w:numPr>
                <w:ilvl w:val="0"/>
                <w:numId w:val="3"/>
              </w:numPr>
              <w:ind w:left="308" w:hanging="372"/>
              <w:rPr>
                <w:rFonts w:ascii="Times New Roman" w:hAnsi="Times New Roman" w:cs="Times New Roman"/>
                <w:sz w:val="24"/>
                <w:szCs w:val="24"/>
                <w:lang w:val="en-GB"/>
              </w:rPr>
            </w:pPr>
          </w:p>
        </w:tc>
        <w:tc>
          <w:tcPr>
            <w:tcW w:w="4459" w:type="dxa"/>
          </w:tcPr>
          <w:p w14:paraId="6CD0597D" w14:textId="77777777" w:rsidR="00411943" w:rsidRPr="00035583" w:rsidRDefault="00411943" w:rsidP="00411943">
            <w:pPr>
              <w:shd w:val="clear" w:color="auto" w:fill="FFFFFF" w:themeFill="background1"/>
              <w:spacing w:after="120"/>
              <w:rPr>
                <w:rFonts w:ascii="Times New Roman" w:hAnsi="Times New Roman" w:cs="Times New Roman"/>
                <w:color w:val="000000" w:themeColor="text1"/>
                <w:sz w:val="24"/>
                <w:szCs w:val="24"/>
                <w:lang w:val="en-GB" w:eastAsia="en-GB"/>
              </w:rPr>
            </w:pPr>
            <w:r w:rsidRPr="00035583">
              <w:rPr>
                <w:rFonts w:ascii="Times New Roman" w:hAnsi="Times New Roman" w:cs="Times New Roman"/>
                <w:color w:val="000000" w:themeColor="text1"/>
                <w:sz w:val="24"/>
                <w:szCs w:val="24"/>
                <w:lang w:val="en-GB" w:eastAsia="en-GB"/>
              </w:rPr>
              <w:t>“4.7.5 Short-term capacity product allocation using FCFS principle</w:t>
            </w:r>
          </w:p>
          <w:p w14:paraId="1005F87D" w14:textId="77777777" w:rsidR="00411943" w:rsidRPr="00035583" w:rsidRDefault="00411943" w:rsidP="00411943">
            <w:pPr>
              <w:shd w:val="clear" w:color="auto" w:fill="FFFFFF" w:themeFill="background1"/>
              <w:spacing w:after="120"/>
              <w:rPr>
                <w:rFonts w:ascii="Times New Roman" w:hAnsi="Times New Roman" w:cs="Times New Roman"/>
                <w:color w:val="000000" w:themeColor="text1"/>
                <w:sz w:val="24"/>
                <w:szCs w:val="24"/>
                <w:lang w:val="en-GB" w:eastAsia="en-GB"/>
              </w:rPr>
            </w:pPr>
            <w:r w:rsidRPr="00035583">
              <w:rPr>
                <w:rFonts w:ascii="Times New Roman" w:hAnsi="Times New Roman" w:cs="Times New Roman"/>
                <w:color w:val="000000" w:themeColor="text1"/>
                <w:sz w:val="24"/>
                <w:szCs w:val="24"/>
                <w:lang w:val="en-GB" w:eastAsia="en-GB"/>
              </w:rPr>
              <w:t>4.7.5.1 The network user shall submit short-term capacity booking applications within the following periods:</w:t>
            </w:r>
          </w:p>
          <w:p w14:paraId="58CEF6D4" w14:textId="799F7507" w:rsidR="00411943" w:rsidRPr="00035583" w:rsidRDefault="00411943" w:rsidP="00411943">
            <w:pPr>
              <w:shd w:val="clear" w:color="auto" w:fill="FFFFFF"/>
              <w:spacing w:after="120"/>
              <w:ind w:firstLine="300"/>
              <w:rPr>
                <w:rFonts w:ascii="Times New Roman" w:hAnsi="Times New Roman" w:cs="Times New Roman"/>
                <w:color w:val="000000" w:themeColor="text1"/>
                <w:sz w:val="24"/>
                <w:szCs w:val="24"/>
                <w:lang w:val="en-GB" w:eastAsia="en-GB"/>
              </w:rPr>
            </w:pPr>
            <w:r w:rsidRPr="00035583">
              <w:rPr>
                <w:rFonts w:ascii="Times New Roman" w:hAnsi="Times New Roman" w:cs="Times New Roman"/>
                <w:color w:val="000000" w:themeColor="text1"/>
                <w:sz w:val="24"/>
                <w:szCs w:val="24"/>
                <w:lang w:val="en-GB" w:eastAsia="en-GB"/>
              </w:rPr>
              <w:t>d) for the within-day standard capacity product not earlier than confirmation deadline of nomination 15:00 UTC (or 14:00 UTC if daylight saving is applicable) and not later than three hours before the end of gas day;”</w:t>
            </w:r>
          </w:p>
          <w:p w14:paraId="7C609BE3" w14:textId="468529C0" w:rsidR="006009C5" w:rsidRPr="00035583" w:rsidRDefault="006009C5" w:rsidP="006009C5">
            <w:pPr>
              <w:rPr>
                <w:rFonts w:ascii="Times New Roman" w:hAnsi="Times New Roman" w:cs="Times New Roman"/>
                <w:i/>
                <w:iCs/>
                <w:sz w:val="24"/>
                <w:szCs w:val="24"/>
                <w:lang w:val="en-GB"/>
              </w:rPr>
            </w:pPr>
          </w:p>
        </w:tc>
        <w:tc>
          <w:tcPr>
            <w:tcW w:w="4459" w:type="dxa"/>
          </w:tcPr>
          <w:p w14:paraId="75E7A7BF" w14:textId="77777777" w:rsidR="006009C5" w:rsidRPr="00035583" w:rsidRDefault="006009C5" w:rsidP="006009C5">
            <w:pPr>
              <w:ind w:firstLine="567"/>
              <w:jc w:val="both"/>
              <w:rPr>
                <w:rFonts w:ascii="Times New Roman" w:hAnsi="Times New Roman" w:cs="Times New Roman"/>
                <w:sz w:val="24"/>
                <w:szCs w:val="24"/>
                <w:lang w:val="en-GB"/>
              </w:rPr>
            </w:pPr>
            <w:r w:rsidRPr="00035583">
              <w:rPr>
                <w:rFonts w:ascii="Times New Roman" w:hAnsi="Times New Roman" w:cs="Times New Roman"/>
                <w:sz w:val="24"/>
                <w:szCs w:val="24"/>
                <w:lang w:val="en-GB"/>
              </w:rPr>
              <w:t>Lastly, we suggest specifying the nomination period in Item d) of Article 4.7.5.1 of the draft Amendments by supplementing it with the phrase “on gas day D-1” and wording it as follows:</w:t>
            </w:r>
          </w:p>
          <w:p w14:paraId="531B4F75" w14:textId="77777777" w:rsidR="006009C5" w:rsidRPr="00035583" w:rsidRDefault="006009C5" w:rsidP="006009C5">
            <w:pPr>
              <w:ind w:firstLine="567"/>
              <w:jc w:val="both"/>
              <w:rPr>
                <w:rFonts w:ascii="Times New Roman" w:hAnsi="Times New Roman" w:cs="Times New Roman"/>
                <w:sz w:val="24"/>
                <w:szCs w:val="24"/>
                <w:lang w:val="en-GB"/>
              </w:rPr>
            </w:pPr>
            <w:r w:rsidRPr="00035583">
              <w:rPr>
                <w:rFonts w:ascii="Times New Roman" w:hAnsi="Times New Roman" w:cs="Times New Roman"/>
                <w:sz w:val="24"/>
                <w:szCs w:val="24"/>
                <w:lang w:val="en-GB"/>
              </w:rPr>
              <w:t xml:space="preserve">“d) for the within-day standard capacity product not earlier than confirmation deadline of nomination from 15:00 UTC </w:t>
            </w:r>
            <w:r w:rsidRPr="00035583">
              <w:rPr>
                <w:rFonts w:ascii="Times New Roman" w:hAnsi="Times New Roman" w:cs="Times New Roman"/>
                <w:b/>
                <w:sz w:val="24"/>
                <w:szCs w:val="24"/>
                <w:lang w:val="en-GB"/>
              </w:rPr>
              <w:t>on gas day D-1</w:t>
            </w:r>
            <w:r w:rsidRPr="00035583">
              <w:rPr>
                <w:rFonts w:ascii="Times New Roman" w:hAnsi="Times New Roman" w:cs="Times New Roman"/>
                <w:sz w:val="24"/>
                <w:szCs w:val="24"/>
                <w:lang w:val="en-GB"/>
              </w:rPr>
              <w:t xml:space="preserve"> (or 14:00 UTC if daylight saving is applicable) and not later than three hours before the end of gas day”.</w:t>
            </w:r>
          </w:p>
          <w:p w14:paraId="4CD3F7E5" w14:textId="61038C4C" w:rsidR="006009C5" w:rsidRPr="00035583" w:rsidRDefault="006009C5" w:rsidP="006009C5">
            <w:pPr>
              <w:rPr>
                <w:rFonts w:ascii="Times New Roman" w:hAnsi="Times New Roman" w:cs="Times New Roman"/>
                <w:sz w:val="24"/>
                <w:szCs w:val="24"/>
                <w:lang w:val="en-GB"/>
              </w:rPr>
            </w:pPr>
          </w:p>
        </w:tc>
        <w:tc>
          <w:tcPr>
            <w:tcW w:w="4460" w:type="dxa"/>
          </w:tcPr>
          <w:p w14:paraId="4787E15F" w14:textId="77777777" w:rsidR="006009C5" w:rsidRPr="00035583" w:rsidRDefault="006009C5" w:rsidP="006009C5">
            <w:pPr>
              <w:rPr>
                <w:rFonts w:ascii="Times New Roman" w:hAnsi="Times New Roman" w:cs="Times New Roman"/>
                <w:sz w:val="24"/>
                <w:szCs w:val="24"/>
                <w:lang w:val="en-GB"/>
              </w:rPr>
            </w:pPr>
            <w:proofErr w:type="gramStart"/>
            <w:r w:rsidRPr="00035583">
              <w:rPr>
                <w:rFonts w:ascii="Times New Roman" w:hAnsi="Times New Roman" w:cs="Times New Roman"/>
                <w:sz w:val="24"/>
                <w:szCs w:val="24"/>
                <w:lang w:val="en-GB"/>
              </w:rPr>
              <w:t>Taken into account</w:t>
            </w:r>
            <w:proofErr w:type="gramEnd"/>
            <w:r w:rsidRPr="00035583">
              <w:rPr>
                <w:rFonts w:ascii="Times New Roman" w:hAnsi="Times New Roman" w:cs="Times New Roman"/>
                <w:sz w:val="24"/>
                <w:szCs w:val="24"/>
                <w:lang w:val="en-GB"/>
              </w:rPr>
              <w:t>.</w:t>
            </w:r>
          </w:p>
          <w:p w14:paraId="47C0A906" w14:textId="105E57D0" w:rsidR="006009C5" w:rsidRPr="00035583" w:rsidRDefault="006009C5" w:rsidP="006009C5">
            <w:pPr>
              <w:rPr>
                <w:rFonts w:ascii="Times New Roman" w:hAnsi="Times New Roman" w:cs="Times New Roman"/>
                <w:i/>
                <w:iCs/>
                <w:sz w:val="24"/>
                <w:szCs w:val="24"/>
                <w:lang w:val="en-GB"/>
              </w:rPr>
            </w:pPr>
          </w:p>
          <w:p w14:paraId="7AD9FD8E" w14:textId="4BE6B7AB" w:rsidR="006009C5" w:rsidRPr="00035583" w:rsidRDefault="006009C5" w:rsidP="006009C5">
            <w:pPr>
              <w:rPr>
                <w:rFonts w:ascii="Times New Roman" w:hAnsi="Times New Roman" w:cs="Times New Roman"/>
                <w:sz w:val="24"/>
                <w:szCs w:val="24"/>
                <w:lang w:val="en-GB"/>
              </w:rPr>
            </w:pPr>
          </w:p>
        </w:tc>
      </w:tr>
    </w:tbl>
    <w:p w14:paraId="65E736A6" w14:textId="77777777" w:rsidR="006D5E9E" w:rsidRPr="00562C3A" w:rsidRDefault="006D5E9E" w:rsidP="006D5E9E">
      <w:pPr>
        <w:jc w:val="center"/>
        <w:rPr>
          <w:rFonts w:ascii="Times New Roman" w:hAnsi="Times New Roman" w:cs="Times New Roman"/>
          <w:sz w:val="24"/>
          <w:szCs w:val="24"/>
          <w:lang w:val="en-GB"/>
        </w:rPr>
      </w:pPr>
    </w:p>
    <w:sectPr w:rsidR="006D5E9E" w:rsidRPr="00562C3A" w:rsidSect="005F6594">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9C4E" w14:textId="77777777" w:rsidR="00216351" w:rsidRDefault="00216351" w:rsidP="00587047">
      <w:pPr>
        <w:spacing w:after="0" w:line="240" w:lineRule="auto"/>
      </w:pPr>
      <w:r>
        <w:separator/>
      </w:r>
    </w:p>
  </w:endnote>
  <w:endnote w:type="continuationSeparator" w:id="0">
    <w:p w14:paraId="0D556E48" w14:textId="77777777" w:rsidR="00216351" w:rsidRDefault="00216351" w:rsidP="00587047">
      <w:pPr>
        <w:spacing w:after="0" w:line="240" w:lineRule="auto"/>
      </w:pPr>
      <w:r>
        <w:continuationSeparator/>
      </w:r>
    </w:p>
  </w:endnote>
  <w:endnote w:type="continuationNotice" w:id="1">
    <w:p w14:paraId="0CAFD214" w14:textId="77777777" w:rsidR="00216351" w:rsidRDefault="002163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76881064"/>
      <w:docPartObj>
        <w:docPartGallery w:val="Page Numbers (Bottom of Page)"/>
        <w:docPartUnique/>
      </w:docPartObj>
    </w:sdtPr>
    <w:sdtEndPr>
      <w:rPr>
        <w:noProof/>
      </w:rPr>
    </w:sdtEndPr>
    <w:sdtContent>
      <w:p w14:paraId="7969FAA4" w14:textId="3FF9D519" w:rsidR="00587047" w:rsidRPr="00587047" w:rsidRDefault="00587047">
        <w:pPr>
          <w:pStyle w:val="Footer"/>
          <w:jc w:val="right"/>
          <w:rPr>
            <w:rFonts w:ascii="Times New Roman" w:hAnsi="Times New Roman" w:cs="Times New Roman"/>
            <w:sz w:val="24"/>
            <w:szCs w:val="24"/>
          </w:rPr>
        </w:pPr>
        <w:r w:rsidRPr="00587047">
          <w:rPr>
            <w:rFonts w:ascii="Times New Roman" w:hAnsi="Times New Roman" w:cs="Times New Roman"/>
            <w:sz w:val="24"/>
            <w:szCs w:val="24"/>
          </w:rPr>
          <w:fldChar w:fldCharType="begin"/>
        </w:r>
        <w:r w:rsidRPr="00587047">
          <w:rPr>
            <w:rFonts w:ascii="Times New Roman" w:hAnsi="Times New Roman" w:cs="Times New Roman"/>
            <w:sz w:val="24"/>
            <w:szCs w:val="24"/>
          </w:rPr>
          <w:instrText xml:space="preserve"> PAGE   \* MERGEFORMAT </w:instrText>
        </w:r>
        <w:r w:rsidRPr="00587047">
          <w:rPr>
            <w:rFonts w:ascii="Times New Roman" w:hAnsi="Times New Roman" w:cs="Times New Roman"/>
            <w:sz w:val="24"/>
            <w:szCs w:val="24"/>
          </w:rPr>
          <w:fldChar w:fldCharType="separate"/>
        </w:r>
        <w:r w:rsidRPr="00587047">
          <w:rPr>
            <w:rFonts w:ascii="Times New Roman" w:hAnsi="Times New Roman" w:cs="Times New Roman"/>
            <w:noProof/>
            <w:sz w:val="24"/>
            <w:szCs w:val="24"/>
          </w:rPr>
          <w:t>2</w:t>
        </w:r>
        <w:r w:rsidRPr="00587047">
          <w:rPr>
            <w:rFonts w:ascii="Times New Roman" w:hAnsi="Times New Roman" w:cs="Times New Roman"/>
            <w:noProof/>
            <w:sz w:val="24"/>
            <w:szCs w:val="24"/>
          </w:rPr>
          <w:fldChar w:fldCharType="end"/>
        </w:r>
      </w:p>
    </w:sdtContent>
  </w:sdt>
  <w:p w14:paraId="3C76BDAC" w14:textId="77777777" w:rsidR="00587047" w:rsidRPr="00587047" w:rsidRDefault="0058704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5415" w14:textId="77777777" w:rsidR="00216351" w:rsidRDefault="00216351" w:rsidP="00587047">
      <w:pPr>
        <w:spacing w:after="0" w:line="240" w:lineRule="auto"/>
      </w:pPr>
      <w:r>
        <w:separator/>
      </w:r>
    </w:p>
  </w:footnote>
  <w:footnote w:type="continuationSeparator" w:id="0">
    <w:p w14:paraId="17291388" w14:textId="77777777" w:rsidR="00216351" w:rsidRDefault="00216351" w:rsidP="00587047">
      <w:pPr>
        <w:spacing w:after="0" w:line="240" w:lineRule="auto"/>
      </w:pPr>
      <w:r>
        <w:continuationSeparator/>
      </w:r>
    </w:p>
  </w:footnote>
  <w:footnote w:type="continuationNotice" w:id="1">
    <w:p w14:paraId="0F9FB133" w14:textId="77777777" w:rsidR="00216351" w:rsidRDefault="002163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16BA8"/>
    <w:multiLevelType w:val="hybridMultilevel"/>
    <w:tmpl w:val="3ADA4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164A4D"/>
    <w:multiLevelType w:val="hybridMultilevel"/>
    <w:tmpl w:val="40DA6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936A83"/>
    <w:multiLevelType w:val="hybridMultilevel"/>
    <w:tmpl w:val="FB6E7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7219681">
    <w:abstractNumId w:val="1"/>
  </w:num>
  <w:num w:numId="2" w16cid:durableId="1145590677">
    <w:abstractNumId w:val="2"/>
  </w:num>
  <w:num w:numId="3" w16cid:durableId="2002343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9E"/>
    <w:rsid w:val="00035583"/>
    <w:rsid w:val="000918B9"/>
    <w:rsid w:val="001B2695"/>
    <w:rsid w:val="001F3328"/>
    <w:rsid w:val="001F5701"/>
    <w:rsid w:val="00216351"/>
    <w:rsid w:val="002213BB"/>
    <w:rsid w:val="00245D2E"/>
    <w:rsid w:val="00247F28"/>
    <w:rsid w:val="00280CE9"/>
    <w:rsid w:val="00307297"/>
    <w:rsid w:val="0034652C"/>
    <w:rsid w:val="00362CED"/>
    <w:rsid w:val="00385DC4"/>
    <w:rsid w:val="00393E12"/>
    <w:rsid w:val="003E638C"/>
    <w:rsid w:val="00401933"/>
    <w:rsid w:val="00411943"/>
    <w:rsid w:val="00413FFE"/>
    <w:rsid w:val="00461C1E"/>
    <w:rsid w:val="00470D47"/>
    <w:rsid w:val="00482C3E"/>
    <w:rsid w:val="0049118E"/>
    <w:rsid w:val="005346FA"/>
    <w:rsid w:val="00555602"/>
    <w:rsid w:val="00562C3A"/>
    <w:rsid w:val="00572C75"/>
    <w:rsid w:val="00587047"/>
    <w:rsid w:val="00594B4D"/>
    <w:rsid w:val="005A196C"/>
    <w:rsid w:val="005A7905"/>
    <w:rsid w:val="005F6594"/>
    <w:rsid w:val="006009C5"/>
    <w:rsid w:val="00601F76"/>
    <w:rsid w:val="00623275"/>
    <w:rsid w:val="0067701F"/>
    <w:rsid w:val="0068538F"/>
    <w:rsid w:val="006968F0"/>
    <w:rsid w:val="006A10E4"/>
    <w:rsid w:val="006A4552"/>
    <w:rsid w:val="006A65E8"/>
    <w:rsid w:val="006C50CB"/>
    <w:rsid w:val="006D5E9E"/>
    <w:rsid w:val="006F4911"/>
    <w:rsid w:val="006F6E97"/>
    <w:rsid w:val="007175A0"/>
    <w:rsid w:val="00747288"/>
    <w:rsid w:val="0078559A"/>
    <w:rsid w:val="007C203A"/>
    <w:rsid w:val="007D32A6"/>
    <w:rsid w:val="0080025B"/>
    <w:rsid w:val="00815AEF"/>
    <w:rsid w:val="00816B78"/>
    <w:rsid w:val="00822B51"/>
    <w:rsid w:val="008414F7"/>
    <w:rsid w:val="00857FA4"/>
    <w:rsid w:val="008D04FD"/>
    <w:rsid w:val="009028EE"/>
    <w:rsid w:val="009555F7"/>
    <w:rsid w:val="009620CF"/>
    <w:rsid w:val="009771EC"/>
    <w:rsid w:val="009B0A17"/>
    <w:rsid w:val="009B11B3"/>
    <w:rsid w:val="009D17CF"/>
    <w:rsid w:val="00A41FFD"/>
    <w:rsid w:val="00A4306D"/>
    <w:rsid w:val="00A8029A"/>
    <w:rsid w:val="00A86FC6"/>
    <w:rsid w:val="00A96F78"/>
    <w:rsid w:val="00AA7350"/>
    <w:rsid w:val="00AD663B"/>
    <w:rsid w:val="00AF1D95"/>
    <w:rsid w:val="00B14BAE"/>
    <w:rsid w:val="00B43848"/>
    <w:rsid w:val="00B8080C"/>
    <w:rsid w:val="00B9701F"/>
    <w:rsid w:val="00BA4D0B"/>
    <w:rsid w:val="00BC0A2D"/>
    <w:rsid w:val="00C0771E"/>
    <w:rsid w:val="00C163C9"/>
    <w:rsid w:val="00C26D58"/>
    <w:rsid w:val="00C923C0"/>
    <w:rsid w:val="00CA717F"/>
    <w:rsid w:val="00D40D29"/>
    <w:rsid w:val="00D5172A"/>
    <w:rsid w:val="00D7405A"/>
    <w:rsid w:val="00DA40B6"/>
    <w:rsid w:val="00DF22DB"/>
    <w:rsid w:val="00E33BDF"/>
    <w:rsid w:val="00E61195"/>
    <w:rsid w:val="00E766A2"/>
    <w:rsid w:val="00EA0243"/>
    <w:rsid w:val="00EA5E90"/>
    <w:rsid w:val="00EA77F1"/>
    <w:rsid w:val="00EB42CE"/>
    <w:rsid w:val="00EF65F8"/>
    <w:rsid w:val="00F532EE"/>
    <w:rsid w:val="00F61715"/>
    <w:rsid w:val="00FA2FF1"/>
    <w:rsid w:val="028D2825"/>
    <w:rsid w:val="213D286E"/>
    <w:rsid w:val="22AA34E5"/>
    <w:rsid w:val="57772E75"/>
    <w:rsid w:val="7B5F95F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D4F0"/>
  <w15:chartTrackingRefBased/>
  <w15:docId w15:val="{11A16CF9-2E72-4EBC-8A68-0B56AA07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5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B51"/>
    <w:pPr>
      <w:ind w:left="720"/>
      <w:contextualSpacing/>
    </w:pPr>
  </w:style>
  <w:style w:type="character" w:styleId="CommentReference">
    <w:name w:val="annotation reference"/>
    <w:basedOn w:val="DefaultParagraphFont"/>
    <w:uiPriority w:val="99"/>
    <w:semiHidden/>
    <w:unhideWhenUsed/>
    <w:rsid w:val="00587047"/>
    <w:rPr>
      <w:sz w:val="16"/>
      <w:szCs w:val="16"/>
    </w:rPr>
  </w:style>
  <w:style w:type="paragraph" w:styleId="CommentText">
    <w:name w:val="annotation text"/>
    <w:basedOn w:val="Normal"/>
    <w:link w:val="CommentTextChar"/>
    <w:uiPriority w:val="99"/>
    <w:unhideWhenUsed/>
    <w:rsid w:val="00587047"/>
    <w:pPr>
      <w:spacing w:line="240" w:lineRule="auto"/>
    </w:pPr>
    <w:rPr>
      <w:sz w:val="20"/>
      <w:szCs w:val="20"/>
    </w:rPr>
  </w:style>
  <w:style w:type="character" w:customStyle="1" w:styleId="CommentTextChar">
    <w:name w:val="Comment Text Char"/>
    <w:basedOn w:val="DefaultParagraphFont"/>
    <w:link w:val="CommentText"/>
    <w:uiPriority w:val="99"/>
    <w:rsid w:val="00587047"/>
    <w:rPr>
      <w:sz w:val="20"/>
      <w:szCs w:val="20"/>
      <w:lang w:val="lv-LV"/>
    </w:rPr>
  </w:style>
  <w:style w:type="paragraph" w:styleId="CommentSubject">
    <w:name w:val="annotation subject"/>
    <w:basedOn w:val="CommentText"/>
    <w:next w:val="CommentText"/>
    <w:link w:val="CommentSubjectChar"/>
    <w:uiPriority w:val="99"/>
    <w:semiHidden/>
    <w:unhideWhenUsed/>
    <w:rsid w:val="00587047"/>
    <w:rPr>
      <w:b/>
      <w:bCs/>
    </w:rPr>
  </w:style>
  <w:style w:type="character" w:customStyle="1" w:styleId="CommentSubjectChar">
    <w:name w:val="Comment Subject Char"/>
    <w:basedOn w:val="CommentTextChar"/>
    <w:link w:val="CommentSubject"/>
    <w:uiPriority w:val="99"/>
    <w:semiHidden/>
    <w:rsid w:val="00587047"/>
    <w:rPr>
      <w:b/>
      <w:bCs/>
      <w:sz w:val="20"/>
      <w:szCs w:val="20"/>
      <w:lang w:val="lv-LV"/>
    </w:rPr>
  </w:style>
  <w:style w:type="paragraph" w:styleId="Header">
    <w:name w:val="header"/>
    <w:basedOn w:val="Normal"/>
    <w:link w:val="HeaderChar"/>
    <w:uiPriority w:val="99"/>
    <w:unhideWhenUsed/>
    <w:rsid w:val="005870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7047"/>
    <w:rPr>
      <w:lang w:val="lv-LV"/>
    </w:rPr>
  </w:style>
  <w:style w:type="paragraph" w:styleId="Footer">
    <w:name w:val="footer"/>
    <w:basedOn w:val="Normal"/>
    <w:link w:val="FooterChar"/>
    <w:uiPriority w:val="99"/>
    <w:unhideWhenUsed/>
    <w:rsid w:val="005870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7047"/>
    <w:rPr>
      <w:lang w:val="lv-LV"/>
    </w:rPr>
  </w:style>
  <w:style w:type="paragraph" w:styleId="Revision">
    <w:name w:val="Revision"/>
    <w:hidden/>
    <w:uiPriority w:val="99"/>
    <w:semiHidden/>
    <w:rsid w:val="00B14BAE"/>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854">
      <w:bodyDiv w:val="1"/>
      <w:marLeft w:val="0"/>
      <w:marRight w:val="0"/>
      <w:marTop w:val="0"/>
      <w:marBottom w:val="0"/>
      <w:divBdr>
        <w:top w:val="none" w:sz="0" w:space="0" w:color="auto"/>
        <w:left w:val="none" w:sz="0" w:space="0" w:color="auto"/>
        <w:bottom w:val="none" w:sz="0" w:space="0" w:color="auto"/>
        <w:right w:val="none" w:sz="0" w:space="0" w:color="auto"/>
      </w:divBdr>
    </w:div>
    <w:div w:id="993525876">
      <w:bodyDiv w:val="1"/>
      <w:marLeft w:val="0"/>
      <w:marRight w:val="0"/>
      <w:marTop w:val="0"/>
      <w:marBottom w:val="0"/>
      <w:divBdr>
        <w:top w:val="none" w:sz="0" w:space="0" w:color="auto"/>
        <w:left w:val="none" w:sz="0" w:space="0" w:color="auto"/>
        <w:bottom w:val="none" w:sz="0" w:space="0" w:color="auto"/>
        <w:right w:val="none" w:sz="0" w:space="0" w:color="auto"/>
      </w:divBdr>
    </w:div>
    <w:div w:id="1015041143">
      <w:bodyDiv w:val="1"/>
      <w:marLeft w:val="0"/>
      <w:marRight w:val="0"/>
      <w:marTop w:val="0"/>
      <w:marBottom w:val="0"/>
      <w:divBdr>
        <w:top w:val="none" w:sz="0" w:space="0" w:color="auto"/>
        <w:left w:val="none" w:sz="0" w:space="0" w:color="auto"/>
        <w:bottom w:val="none" w:sz="0" w:space="0" w:color="auto"/>
        <w:right w:val="none" w:sz="0" w:space="0" w:color="auto"/>
      </w:divBdr>
    </w:div>
    <w:div w:id="1079331259">
      <w:bodyDiv w:val="1"/>
      <w:marLeft w:val="0"/>
      <w:marRight w:val="0"/>
      <w:marTop w:val="0"/>
      <w:marBottom w:val="0"/>
      <w:divBdr>
        <w:top w:val="none" w:sz="0" w:space="0" w:color="auto"/>
        <w:left w:val="none" w:sz="0" w:space="0" w:color="auto"/>
        <w:bottom w:val="none" w:sz="0" w:space="0" w:color="auto"/>
        <w:right w:val="none" w:sz="0" w:space="0" w:color="auto"/>
      </w:divBdr>
    </w:div>
    <w:div w:id="1217083624">
      <w:bodyDiv w:val="1"/>
      <w:marLeft w:val="0"/>
      <w:marRight w:val="0"/>
      <w:marTop w:val="0"/>
      <w:marBottom w:val="0"/>
      <w:divBdr>
        <w:top w:val="none" w:sz="0" w:space="0" w:color="auto"/>
        <w:left w:val="none" w:sz="0" w:space="0" w:color="auto"/>
        <w:bottom w:val="none" w:sz="0" w:space="0" w:color="auto"/>
        <w:right w:val="none" w:sz="0" w:space="0" w:color="auto"/>
      </w:divBdr>
    </w:div>
    <w:div w:id="1589271767">
      <w:bodyDiv w:val="1"/>
      <w:marLeft w:val="0"/>
      <w:marRight w:val="0"/>
      <w:marTop w:val="0"/>
      <w:marBottom w:val="0"/>
      <w:divBdr>
        <w:top w:val="none" w:sz="0" w:space="0" w:color="auto"/>
        <w:left w:val="none" w:sz="0" w:space="0" w:color="auto"/>
        <w:bottom w:val="none" w:sz="0" w:space="0" w:color="auto"/>
        <w:right w:val="none" w:sz="0" w:space="0" w:color="auto"/>
      </w:divBdr>
    </w:div>
    <w:div w:id="2065254368">
      <w:bodyDiv w:val="1"/>
      <w:marLeft w:val="0"/>
      <w:marRight w:val="0"/>
      <w:marTop w:val="0"/>
      <w:marBottom w:val="0"/>
      <w:divBdr>
        <w:top w:val="none" w:sz="0" w:space="0" w:color="auto"/>
        <w:left w:val="none" w:sz="0" w:space="0" w:color="auto"/>
        <w:bottom w:val="none" w:sz="0" w:space="0" w:color="auto"/>
        <w:right w:val="none" w:sz="0" w:space="0" w:color="auto"/>
      </w:divBdr>
    </w:div>
    <w:div w:id="21394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D68FBF7F7C4CE4E9F9127C27E88DFB6" ma:contentTypeVersion="2" ma:contentTypeDescription="Izveidot jaunu dokumentu." ma:contentTypeScope="" ma:versionID="b831fa65cdd9b3ae02423ef68226702b">
  <xsd:schema xmlns:xsd="http://www.w3.org/2001/XMLSchema" xmlns:xs="http://www.w3.org/2001/XMLSchema" xmlns:p="http://schemas.microsoft.com/office/2006/metadata/properties" xmlns:ns2="6427f6a5-7cc0-4614-9ecc-47085819bd58" targetNamespace="http://schemas.microsoft.com/office/2006/metadata/properties" ma:root="true" ma:fieldsID="21d8571fb48672fabd67700d4700f0e3" ns2:_="">
    <xsd:import namespace="6427f6a5-7cc0-4614-9ecc-47085819bd5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7f6a5-7cc0-4614-9ecc-47085819b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A80B52-EBAD-4CD3-BE72-BE3C81B83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7f6a5-7cc0-4614-9ecc-47085819b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D8305-2789-48CF-9C7F-64FC346607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4ACA00-C38D-4485-9B15-ACE505C2F0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Ansone</dc:creator>
  <cp:keywords/>
  <dc:description/>
  <cp:lastModifiedBy>Airi Noor</cp:lastModifiedBy>
  <cp:revision>2</cp:revision>
  <dcterms:created xsi:type="dcterms:W3CDTF">2023-02-23T09:02:00Z</dcterms:created>
  <dcterms:modified xsi:type="dcterms:W3CDTF">2023-02-23T09:02:00Z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0x0101004D68FBF7F7C4CE4E9F9127C27E88DFB6</vt:lpwstr>
  </property>
</Properties>
</file>