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1E192" w14:textId="06132B06" w:rsidR="007C0560" w:rsidRPr="0024559F" w:rsidRDefault="007C0560" w:rsidP="3007BA1C">
      <w:pPr>
        <w:rPr>
          <w:b/>
          <w:bCs/>
          <w:color w:val="002060"/>
          <w:sz w:val="40"/>
          <w:szCs w:val="40"/>
        </w:rPr>
      </w:pPr>
      <w:bookmarkStart w:id="0" w:name="_Hlk115335227"/>
      <w:bookmarkEnd w:id="0"/>
    </w:p>
    <w:p w14:paraId="48C1193F" w14:textId="77777777" w:rsidR="007C0560" w:rsidRPr="0024559F" w:rsidRDefault="007C0560" w:rsidP="002D35D1">
      <w:pPr>
        <w:rPr>
          <w:rFonts w:cstheme="minorHAnsi"/>
          <w:b/>
          <w:bCs/>
          <w:color w:val="002060"/>
          <w:sz w:val="40"/>
          <w:szCs w:val="40"/>
        </w:rPr>
      </w:pPr>
    </w:p>
    <w:p w14:paraId="19EFD5FC" w14:textId="77777777" w:rsidR="007C0560" w:rsidRPr="0024559F" w:rsidRDefault="007C0560" w:rsidP="002D35D1">
      <w:pPr>
        <w:rPr>
          <w:rFonts w:cstheme="minorHAnsi"/>
          <w:b/>
          <w:bCs/>
          <w:color w:val="002060"/>
          <w:sz w:val="40"/>
          <w:szCs w:val="40"/>
        </w:rPr>
      </w:pPr>
    </w:p>
    <w:p w14:paraId="51C1B9AE" w14:textId="77777777" w:rsidR="007C0560" w:rsidRPr="0024559F" w:rsidRDefault="007C0560" w:rsidP="002D35D1">
      <w:pPr>
        <w:rPr>
          <w:rFonts w:cstheme="minorHAnsi"/>
          <w:b/>
          <w:bCs/>
          <w:color w:val="002060"/>
          <w:sz w:val="40"/>
          <w:szCs w:val="40"/>
        </w:rPr>
      </w:pPr>
    </w:p>
    <w:p w14:paraId="7DF0544E" w14:textId="77777777" w:rsidR="007C0560" w:rsidRPr="0024559F" w:rsidRDefault="007C0560" w:rsidP="002D35D1">
      <w:pPr>
        <w:rPr>
          <w:rFonts w:cstheme="minorHAnsi"/>
          <w:b/>
          <w:bCs/>
          <w:color w:val="002060"/>
          <w:sz w:val="40"/>
          <w:szCs w:val="40"/>
        </w:rPr>
      </w:pPr>
    </w:p>
    <w:p w14:paraId="16B07DBF" w14:textId="77777777" w:rsidR="007C0560" w:rsidRPr="0024559F" w:rsidRDefault="007C0560" w:rsidP="002D35D1">
      <w:pPr>
        <w:rPr>
          <w:rFonts w:cstheme="minorHAnsi"/>
          <w:b/>
          <w:bCs/>
          <w:color w:val="002060"/>
          <w:sz w:val="40"/>
          <w:szCs w:val="40"/>
        </w:rPr>
      </w:pPr>
    </w:p>
    <w:p w14:paraId="7EFAD3A1" w14:textId="77777777" w:rsidR="007C0560" w:rsidRPr="0024559F" w:rsidRDefault="007C0560" w:rsidP="002D35D1">
      <w:pPr>
        <w:rPr>
          <w:rFonts w:cstheme="minorHAnsi"/>
          <w:b/>
          <w:bCs/>
          <w:color w:val="002060"/>
          <w:sz w:val="40"/>
          <w:szCs w:val="40"/>
        </w:rPr>
      </w:pPr>
    </w:p>
    <w:p w14:paraId="01EF4DA4" w14:textId="41C0B28F" w:rsidR="002D35D1" w:rsidRPr="0024559F" w:rsidRDefault="0085013E" w:rsidP="15A49D2E">
      <w:pPr>
        <w:jc w:val="center"/>
        <w:rPr>
          <w:b/>
          <w:bCs/>
          <w:color w:val="002060"/>
          <w:sz w:val="40"/>
          <w:szCs w:val="40"/>
        </w:rPr>
      </w:pPr>
      <w:r w:rsidRPr="3E922A6B">
        <w:rPr>
          <w:b/>
          <w:bCs/>
          <w:color w:val="002060"/>
          <w:sz w:val="40"/>
          <w:szCs w:val="40"/>
        </w:rPr>
        <w:t xml:space="preserve">Explanatory document to </w:t>
      </w:r>
      <w:proofErr w:type="spellStart"/>
      <w:r w:rsidR="002D35D1" w:rsidRPr="3E922A6B">
        <w:rPr>
          <w:b/>
          <w:bCs/>
          <w:color w:val="002060"/>
          <w:sz w:val="40"/>
          <w:szCs w:val="40"/>
        </w:rPr>
        <w:t>Augstsprieguma</w:t>
      </w:r>
      <w:proofErr w:type="spellEnd"/>
      <w:r w:rsidR="002D35D1" w:rsidRPr="3E922A6B">
        <w:rPr>
          <w:b/>
          <w:bCs/>
          <w:color w:val="002060"/>
          <w:sz w:val="40"/>
          <w:szCs w:val="40"/>
        </w:rPr>
        <w:t xml:space="preserve"> </w:t>
      </w:r>
      <w:proofErr w:type="spellStart"/>
      <w:r w:rsidR="002D35D1" w:rsidRPr="3E922A6B">
        <w:rPr>
          <w:b/>
          <w:bCs/>
          <w:color w:val="002060"/>
          <w:sz w:val="40"/>
          <w:szCs w:val="40"/>
        </w:rPr>
        <w:t>tīkls</w:t>
      </w:r>
      <w:proofErr w:type="spellEnd"/>
      <w:r w:rsidR="002D35D1" w:rsidRPr="3E922A6B">
        <w:rPr>
          <w:b/>
          <w:bCs/>
          <w:color w:val="002060"/>
          <w:sz w:val="40"/>
          <w:szCs w:val="40"/>
        </w:rPr>
        <w:t xml:space="preserve">, </w:t>
      </w:r>
      <w:proofErr w:type="spellStart"/>
      <w:r w:rsidR="002D35D1" w:rsidRPr="3E922A6B">
        <w:rPr>
          <w:b/>
          <w:bCs/>
          <w:color w:val="002060"/>
          <w:sz w:val="40"/>
          <w:szCs w:val="40"/>
        </w:rPr>
        <w:t>Elering</w:t>
      </w:r>
      <w:proofErr w:type="spellEnd"/>
      <w:r w:rsidR="002D35D1" w:rsidRPr="3E922A6B">
        <w:rPr>
          <w:b/>
          <w:bCs/>
          <w:color w:val="002060"/>
          <w:sz w:val="40"/>
          <w:szCs w:val="40"/>
        </w:rPr>
        <w:t xml:space="preserve"> and Litgrid proposal </w:t>
      </w:r>
      <w:r w:rsidR="00EB545F" w:rsidRPr="3E922A6B">
        <w:rPr>
          <w:b/>
          <w:bCs/>
          <w:color w:val="002060"/>
          <w:sz w:val="40"/>
          <w:szCs w:val="40"/>
        </w:rPr>
        <w:t xml:space="preserve">for </w:t>
      </w:r>
      <w:r w:rsidR="0039706E" w:rsidRPr="3E922A6B">
        <w:rPr>
          <w:b/>
          <w:bCs/>
          <w:color w:val="002060"/>
          <w:sz w:val="40"/>
          <w:szCs w:val="40"/>
        </w:rPr>
        <w:t xml:space="preserve">Baltic balancing capacity market </w:t>
      </w:r>
      <w:r w:rsidR="3AAA347C" w:rsidRPr="3E922A6B">
        <w:rPr>
          <w:b/>
          <w:bCs/>
          <w:color w:val="002060"/>
          <w:sz w:val="40"/>
          <w:szCs w:val="40"/>
        </w:rPr>
        <w:t>in accordance</w:t>
      </w:r>
      <w:r w:rsidR="0844A63B" w:rsidRPr="3E922A6B">
        <w:rPr>
          <w:b/>
          <w:bCs/>
          <w:color w:val="002060"/>
          <w:sz w:val="40"/>
          <w:szCs w:val="40"/>
        </w:rPr>
        <w:t xml:space="preserve"> </w:t>
      </w:r>
      <w:r w:rsidR="002D35D1" w:rsidRPr="3E922A6B">
        <w:rPr>
          <w:b/>
          <w:bCs/>
          <w:color w:val="002060"/>
          <w:sz w:val="40"/>
          <w:szCs w:val="40"/>
        </w:rPr>
        <w:t xml:space="preserve">with Article 33(1) </w:t>
      </w:r>
      <w:r w:rsidR="003A2494" w:rsidRPr="3E922A6B">
        <w:rPr>
          <w:b/>
          <w:bCs/>
          <w:color w:val="002060"/>
          <w:sz w:val="40"/>
          <w:szCs w:val="40"/>
        </w:rPr>
        <w:t xml:space="preserve">and Article 38(1) </w:t>
      </w:r>
      <w:r w:rsidR="002D35D1" w:rsidRPr="3E922A6B">
        <w:rPr>
          <w:b/>
          <w:bCs/>
          <w:color w:val="002060"/>
          <w:sz w:val="40"/>
          <w:szCs w:val="40"/>
        </w:rPr>
        <w:t xml:space="preserve">of the Commission Regulation (EU) 2017/2195 of 23 November 2017 establishing a guideline on electricity </w:t>
      </w:r>
      <w:proofErr w:type="gramStart"/>
      <w:r w:rsidR="002D35D1" w:rsidRPr="3E922A6B">
        <w:rPr>
          <w:b/>
          <w:bCs/>
          <w:color w:val="002060"/>
          <w:sz w:val="40"/>
          <w:szCs w:val="40"/>
        </w:rPr>
        <w:t>balancing</w:t>
      </w:r>
      <w:proofErr w:type="gramEnd"/>
    </w:p>
    <w:p w14:paraId="66D8D7AA" w14:textId="57EEC2A5" w:rsidR="002D35D1" w:rsidRPr="0024559F" w:rsidRDefault="002D35D1">
      <w:pPr>
        <w:rPr>
          <w:color w:val="000000" w:themeColor="text1"/>
          <w:sz w:val="36"/>
          <w:szCs w:val="36"/>
        </w:rPr>
      </w:pPr>
      <w:r w:rsidRPr="0024559F">
        <w:rPr>
          <w:color w:val="000000" w:themeColor="text1"/>
          <w:sz w:val="36"/>
          <w:szCs w:val="36"/>
        </w:rPr>
        <w:br w:type="page"/>
      </w:r>
    </w:p>
    <w:p w14:paraId="5EB174C7" w14:textId="77777777" w:rsidR="00621D38" w:rsidRPr="0024559F" w:rsidRDefault="00621D38" w:rsidP="00647B80">
      <w:pPr>
        <w:pStyle w:val="textregular"/>
        <w:spacing w:line="276" w:lineRule="auto"/>
        <w:rPr>
          <w:rFonts w:cstheme="minorHAnsi"/>
          <w:color w:val="000000" w:themeColor="text1"/>
        </w:rPr>
      </w:pPr>
    </w:p>
    <w:sdt>
      <w:sdtPr>
        <w:rPr>
          <w:rFonts w:eastAsiaTheme="minorHAnsi" w:cstheme="minorBidi"/>
          <w:b w:val="0"/>
          <w:bCs w:val="0"/>
          <w:color w:val="auto"/>
          <w:sz w:val="22"/>
          <w:szCs w:val="22"/>
        </w:rPr>
        <w:id w:val="1463987641"/>
        <w:docPartObj>
          <w:docPartGallery w:val="Table of Contents"/>
          <w:docPartUnique/>
        </w:docPartObj>
      </w:sdtPr>
      <w:sdtEndPr/>
      <w:sdtContent>
        <w:p w14:paraId="721ED08C" w14:textId="3B70366C" w:rsidR="00074ADD" w:rsidRPr="0024559F" w:rsidRDefault="00074ADD" w:rsidP="68683882">
          <w:pPr>
            <w:pStyle w:val="TOCHeading"/>
            <w:rPr>
              <w:rFonts w:asciiTheme="minorHAnsi" w:hAnsiTheme="minorHAnsi" w:cstheme="minorBidi"/>
            </w:rPr>
          </w:pPr>
          <w:r w:rsidRPr="68683882">
            <w:rPr>
              <w:rFonts w:asciiTheme="minorHAnsi" w:hAnsiTheme="minorHAnsi" w:cstheme="minorBidi"/>
            </w:rPr>
            <w:t>Table of Contents</w:t>
          </w:r>
        </w:p>
        <w:p w14:paraId="2BC88555" w14:textId="1F4D58A9" w:rsidR="000D0688" w:rsidRPr="0024559F" w:rsidRDefault="00F90086" w:rsidP="68683882">
          <w:pPr>
            <w:pStyle w:val="TOC1"/>
            <w:tabs>
              <w:tab w:val="clear" w:pos="9514"/>
              <w:tab w:val="left" w:pos="435"/>
              <w:tab w:val="right" w:leader="dot" w:pos="9510"/>
            </w:tabs>
            <w:rPr>
              <w:rStyle w:val="Hyperlink"/>
              <w:lang w:eastAsia="lt-LT"/>
            </w:rPr>
          </w:pPr>
          <w:r>
            <w:fldChar w:fldCharType="begin"/>
          </w:r>
          <w:r w:rsidR="00074ADD">
            <w:instrText>TOC \o "1-3" \h \z \u</w:instrText>
          </w:r>
          <w:r>
            <w:fldChar w:fldCharType="separate"/>
          </w:r>
          <w:hyperlink w:anchor="_Toc1500841925">
            <w:r w:rsidR="68683882" w:rsidRPr="68683882">
              <w:rPr>
                <w:rStyle w:val="Hyperlink"/>
              </w:rPr>
              <w:t>1.</w:t>
            </w:r>
            <w:r w:rsidR="00074ADD">
              <w:tab/>
            </w:r>
            <w:r w:rsidR="68683882" w:rsidRPr="68683882">
              <w:rPr>
                <w:rStyle w:val="Hyperlink"/>
              </w:rPr>
              <w:t>Introduction</w:t>
            </w:r>
            <w:r w:rsidR="00074ADD">
              <w:tab/>
            </w:r>
            <w:r w:rsidR="00074ADD">
              <w:fldChar w:fldCharType="begin"/>
            </w:r>
            <w:r w:rsidR="00074ADD">
              <w:instrText>PAGEREF _Toc1500841925 \h</w:instrText>
            </w:r>
            <w:r w:rsidR="00074ADD">
              <w:fldChar w:fldCharType="separate"/>
            </w:r>
            <w:r w:rsidR="68683882" w:rsidRPr="68683882">
              <w:rPr>
                <w:rStyle w:val="Hyperlink"/>
              </w:rPr>
              <w:t>2</w:t>
            </w:r>
            <w:r w:rsidR="00074ADD">
              <w:fldChar w:fldCharType="end"/>
            </w:r>
          </w:hyperlink>
        </w:p>
        <w:p w14:paraId="46AFEA6A" w14:textId="66928D54" w:rsidR="000D0688" w:rsidRPr="0024559F" w:rsidRDefault="002B3BBF" w:rsidP="68683882">
          <w:pPr>
            <w:pStyle w:val="TOC1"/>
            <w:tabs>
              <w:tab w:val="clear" w:pos="9514"/>
              <w:tab w:val="left" w:pos="435"/>
              <w:tab w:val="right" w:leader="dot" w:pos="9510"/>
            </w:tabs>
            <w:rPr>
              <w:rStyle w:val="Hyperlink"/>
              <w:lang w:eastAsia="lt-LT"/>
            </w:rPr>
          </w:pPr>
          <w:hyperlink w:anchor="_Toc843752379">
            <w:r w:rsidR="68683882" w:rsidRPr="68683882">
              <w:rPr>
                <w:rStyle w:val="Hyperlink"/>
              </w:rPr>
              <w:t>2.</w:t>
            </w:r>
            <w:r w:rsidR="00F90086">
              <w:tab/>
            </w:r>
            <w:r w:rsidR="68683882" w:rsidRPr="68683882">
              <w:rPr>
                <w:rStyle w:val="Hyperlink"/>
              </w:rPr>
              <w:t>Purpose</w:t>
            </w:r>
            <w:r w:rsidR="00F90086">
              <w:tab/>
            </w:r>
            <w:r w:rsidR="00F90086">
              <w:fldChar w:fldCharType="begin"/>
            </w:r>
            <w:r w:rsidR="00F90086">
              <w:instrText>PAGEREF _Toc843752379 \h</w:instrText>
            </w:r>
            <w:r w:rsidR="00F90086">
              <w:fldChar w:fldCharType="separate"/>
            </w:r>
            <w:r w:rsidR="68683882" w:rsidRPr="68683882">
              <w:rPr>
                <w:rStyle w:val="Hyperlink"/>
              </w:rPr>
              <w:t>3</w:t>
            </w:r>
            <w:r w:rsidR="00F90086">
              <w:fldChar w:fldCharType="end"/>
            </w:r>
          </w:hyperlink>
        </w:p>
        <w:p w14:paraId="65C0CADC" w14:textId="28256AAB" w:rsidR="000D0688" w:rsidRPr="0024559F" w:rsidRDefault="002B3BBF" w:rsidP="68683882">
          <w:pPr>
            <w:pStyle w:val="TOC1"/>
            <w:tabs>
              <w:tab w:val="clear" w:pos="9514"/>
              <w:tab w:val="left" w:pos="435"/>
              <w:tab w:val="right" w:leader="dot" w:pos="9510"/>
            </w:tabs>
            <w:rPr>
              <w:rStyle w:val="Hyperlink"/>
              <w:lang w:eastAsia="lt-LT"/>
            </w:rPr>
          </w:pPr>
          <w:hyperlink w:anchor="_Toc1253219159">
            <w:r w:rsidR="68683882" w:rsidRPr="68683882">
              <w:rPr>
                <w:rStyle w:val="Hyperlink"/>
              </w:rPr>
              <w:t>3.</w:t>
            </w:r>
            <w:r w:rsidR="00F90086">
              <w:tab/>
            </w:r>
            <w:r w:rsidR="68683882" w:rsidRPr="68683882">
              <w:rPr>
                <w:rStyle w:val="Hyperlink"/>
              </w:rPr>
              <w:t>Background</w:t>
            </w:r>
            <w:r w:rsidR="00F90086">
              <w:tab/>
            </w:r>
            <w:r w:rsidR="00F90086">
              <w:fldChar w:fldCharType="begin"/>
            </w:r>
            <w:r w:rsidR="00F90086">
              <w:instrText>PAGEREF _Toc1253219159 \h</w:instrText>
            </w:r>
            <w:r w:rsidR="00F90086">
              <w:fldChar w:fldCharType="separate"/>
            </w:r>
            <w:r w:rsidR="68683882" w:rsidRPr="68683882">
              <w:rPr>
                <w:rStyle w:val="Hyperlink"/>
              </w:rPr>
              <w:t>3</w:t>
            </w:r>
            <w:r w:rsidR="00F90086">
              <w:fldChar w:fldCharType="end"/>
            </w:r>
          </w:hyperlink>
        </w:p>
        <w:p w14:paraId="30333868" w14:textId="7E436D29" w:rsidR="000D0688" w:rsidRPr="0024559F" w:rsidRDefault="002B3BBF" w:rsidP="68683882">
          <w:pPr>
            <w:pStyle w:val="TOC1"/>
            <w:tabs>
              <w:tab w:val="clear" w:pos="9514"/>
              <w:tab w:val="left" w:pos="435"/>
              <w:tab w:val="right" w:leader="dot" w:pos="9510"/>
            </w:tabs>
            <w:rPr>
              <w:rStyle w:val="Hyperlink"/>
              <w:lang w:eastAsia="lt-LT"/>
            </w:rPr>
          </w:pPr>
          <w:hyperlink w:anchor="_Toc2131951296">
            <w:r w:rsidR="68683882" w:rsidRPr="68683882">
              <w:rPr>
                <w:rStyle w:val="Hyperlink"/>
              </w:rPr>
              <w:t>4.</w:t>
            </w:r>
            <w:r w:rsidR="00F90086">
              <w:tab/>
            </w:r>
            <w:r w:rsidR="68683882" w:rsidRPr="68683882">
              <w:rPr>
                <w:rStyle w:val="Hyperlink"/>
              </w:rPr>
              <w:t>Exchange of balancing capacity and sharing of reserves</w:t>
            </w:r>
            <w:r w:rsidR="00F90086">
              <w:tab/>
            </w:r>
            <w:r w:rsidR="00F90086">
              <w:fldChar w:fldCharType="begin"/>
            </w:r>
            <w:r w:rsidR="00F90086">
              <w:instrText>PAGEREF _Toc2131951296 \h</w:instrText>
            </w:r>
            <w:r w:rsidR="00F90086">
              <w:fldChar w:fldCharType="separate"/>
            </w:r>
            <w:r w:rsidR="68683882" w:rsidRPr="68683882">
              <w:rPr>
                <w:rStyle w:val="Hyperlink"/>
              </w:rPr>
              <w:t>3</w:t>
            </w:r>
            <w:r w:rsidR="00F90086">
              <w:fldChar w:fldCharType="end"/>
            </w:r>
          </w:hyperlink>
        </w:p>
        <w:p w14:paraId="3807C97F" w14:textId="3C7F00EA" w:rsidR="000D0688" w:rsidRPr="0024559F" w:rsidRDefault="002B3BBF" w:rsidP="68683882">
          <w:pPr>
            <w:pStyle w:val="TOC1"/>
            <w:tabs>
              <w:tab w:val="clear" w:pos="9514"/>
              <w:tab w:val="left" w:pos="435"/>
              <w:tab w:val="right" w:leader="dot" w:pos="9510"/>
            </w:tabs>
            <w:rPr>
              <w:rStyle w:val="Hyperlink"/>
              <w:lang w:eastAsia="lt-LT"/>
            </w:rPr>
          </w:pPr>
          <w:hyperlink w:anchor="_Toc1517643202">
            <w:r w:rsidR="68683882" w:rsidRPr="68683882">
              <w:rPr>
                <w:rStyle w:val="Hyperlink"/>
              </w:rPr>
              <w:t>5.</w:t>
            </w:r>
            <w:r w:rsidR="00F90086">
              <w:tab/>
            </w:r>
            <w:r w:rsidR="68683882" w:rsidRPr="68683882">
              <w:rPr>
                <w:rStyle w:val="Hyperlink"/>
              </w:rPr>
              <w:t>Dimensioning</w:t>
            </w:r>
            <w:r w:rsidR="00F90086">
              <w:tab/>
            </w:r>
            <w:r w:rsidR="00F90086">
              <w:fldChar w:fldCharType="begin"/>
            </w:r>
            <w:r w:rsidR="00F90086">
              <w:instrText>PAGEREF _Toc1517643202 \h</w:instrText>
            </w:r>
            <w:r w:rsidR="00F90086">
              <w:fldChar w:fldCharType="separate"/>
            </w:r>
            <w:r w:rsidR="68683882" w:rsidRPr="68683882">
              <w:rPr>
                <w:rStyle w:val="Hyperlink"/>
              </w:rPr>
              <w:t>5</w:t>
            </w:r>
            <w:r w:rsidR="00F90086">
              <w:fldChar w:fldCharType="end"/>
            </w:r>
          </w:hyperlink>
        </w:p>
        <w:p w14:paraId="1DC9CD34" w14:textId="36F5040B" w:rsidR="000D0688" w:rsidRPr="0024559F" w:rsidRDefault="002B3BBF" w:rsidP="68683882">
          <w:pPr>
            <w:pStyle w:val="TOC1"/>
            <w:tabs>
              <w:tab w:val="clear" w:pos="9514"/>
              <w:tab w:val="left" w:pos="435"/>
              <w:tab w:val="right" w:leader="dot" w:pos="9510"/>
            </w:tabs>
            <w:rPr>
              <w:rStyle w:val="Hyperlink"/>
              <w:lang w:eastAsia="lt-LT"/>
            </w:rPr>
          </w:pPr>
          <w:hyperlink w:anchor="_Toc220146194">
            <w:r w:rsidR="68683882" w:rsidRPr="68683882">
              <w:rPr>
                <w:rStyle w:val="Hyperlink"/>
              </w:rPr>
              <w:t>6.</w:t>
            </w:r>
            <w:r w:rsidR="00F90086">
              <w:tab/>
            </w:r>
            <w:r w:rsidR="68683882" w:rsidRPr="68683882">
              <w:rPr>
                <w:rStyle w:val="Hyperlink"/>
              </w:rPr>
              <w:t>Products</w:t>
            </w:r>
            <w:r w:rsidR="00F90086">
              <w:tab/>
            </w:r>
            <w:r w:rsidR="00F90086">
              <w:fldChar w:fldCharType="begin"/>
            </w:r>
            <w:r w:rsidR="00F90086">
              <w:instrText>PAGEREF _Toc220146194 \h</w:instrText>
            </w:r>
            <w:r w:rsidR="00F90086">
              <w:fldChar w:fldCharType="separate"/>
            </w:r>
            <w:r w:rsidR="68683882" w:rsidRPr="68683882">
              <w:rPr>
                <w:rStyle w:val="Hyperlink"/>
              </w:rPr>
              <w:t>5</w:t>
            </w:r>
            <w:r w:rsidR="00F90086">
              <w:fldChar w:fldCharType="end"/>
            </w:r>
          </w:hyperlink>
        </w:p>
        <w:p w14:paraId="61D202FA" w14:textId="362D28B7" w:rsidR="000D0688" w:rsidRPr="0024559F" w:rsidRDefault="002B3BBF" w:rsidP="68683882">
          <w:pPr>
            <w:pStyle w:val="TOC1"/>
            <w:tabs>
              <w:tab w:val="clear" w:pos="9514"/>
              <w:tab w:val="left" w:pos="435"/>
              <w:tab w:val="right" w:leader="dot" w:pos="9510"/>
            </w:tabs>
            <w:rPr>
              <w:rStyle w:val="Hyperlink"/>
              <w:lang w:eastAsia="lt-LT"/>
            </w:rPr>
          </w:pPr>
          <w:hyperlink w:anchor="_Toc874864571">
            <w:r w:rsidR="68683882" w:rsidRPr="68683882">
              <w:rPr>
                <w:rStyle w:val="Hyperlink"/>
              </w:rPr>
              <w:t>6.1.</w:t>
            </w:r>
            <w:r w:rsidR="00F90086">
              <w:tab/>
            </w:r>
            <w:r w:rsidR="68683882" w:rsidRPr="68683882">
              <w:rPr>
                <w:rStyle w:val="Hyperlink"/>
              </w:rPr>
              <w:t>Linkage of bids</w:t>
            </w:r>
            <w:r w:rsidR="00F90086">
              <w:tab/>
            </w:r>
            <w:r w:rsidR="00F90086">
              <w:fldChar w:fldCharType="begin"/>
            </w:r>
            <w:r w:rsidR="00F90086">
              <w:instrText>PAGEREF _Toc874864571 \h</w:instrText>
            </w:r>
            <w:r w:rsidR="00F90086">
              <w:fldChar w:fldCharType="separate"/>
            </w:r>
            <w:r w:rsidR="68683882" w:rsidRPr="68683882">
              <w:rPr>
                <w:rStyle w:val="Hyperlink"/>
              </w:rPr>
              <w:t>6</w:t>
            </w:r>
            <w:r w:rsidR="00F90086">
              <w:fldChar w:fldCharType="end"/>
            </w:r>
          </w:hyperlink>
        </w:p>
        <w:p w14:paraId="50C92EC6" w14:textId="49918DE0" w:rsidR="000D0688" w:rsidRPr="0024559F" w:rsidRDefault="002B3BBF" w:rsidP="68683882">
          <w:pPr>
            <w:pStyle w:val="TOC1"/>
            <w:tabs>
              <w:tab w:val="clear" w:pos="9514"/>
              <w:tab w:val="left" w:pos="435"/>
              <w:tab w:val="right" w:leader="dot" w:pos="9510"/>
            </w:tabs>
            <w:rPr>
              <w:rStyle w:val="Hyperlink"/>
              <w:lang w:eastAsia="lt-LT"/>
            </w:rPr>
          </w:pPr>
          <w:hyperlink w:anchor="_Toc1026539435">
            <w:r w:rsidR="68683882" w:rsidRPr="68683882">
              <w:rPr>
                <w:rStyle w:val="Hyperlink"/>
              </w:rPr>
              <w:t>7.</w:t>
            </w:r>
            <w:r w:rsidR="00F90086">
              <w:tab/>
            </w:r>
            <w:r w:rsidR="68683882" w:rsidRPr="68683882">
              <w:rPr>
                <w:rStyle w:val="Hyperlink"/>
              </w:rPr>
              <w:t>Resources</w:t>
            </w:r>
            <w:r w:rsidR="00F90086">
              <w:tab/>
            </w:r>
            <w:r w:rsidR="00F90086">
              <w:fldChar w:fldCharType="begin"/>
            </w:r>
            <w:r w:rsidR="00F90086">
              <w:instrText>PAGEREF _Toc1026539435 \h</w:instrText>
            </w:r>
            <w:r w:rsidR="00F90086">
              <w:fldChar w:fldCharType="separate"/>
            </w:r>
            <w:r w:rsidR="68683882" w:rsidRPr="68683882">
              <w:rPr>
                <w:rStyle w:val="Hyperlink"/>
              </w:rPr>
              <w:t>7</w:t>
            </w:r>
            <w:r w:rsidR="00F90086">
              <w:fldChar w:fldCharType="end"/>
            </w:r>
          </w:hyperlink>
        </w:p>
        <w:p w14:paraId="511448BB" w14:textId="74161859" w:rsidR="000D0688" w:rsidRPr="0024559F" w:rsidRDefault="002B3BBF" w:rsidP="68683882">
          <w:pPr>
            <w:pStyle w:val="TOC1"/>
            <w:tabs>
              <w:tab w:val="clear" w:pos="9514"/>
              <w:tab w:val="left" w:pos="435"/>
              <w:tab w:val="right" w:leader="dot" w:pos="9510"/>
            </w:tabs>
            <w:rPr>
              <w:rStyle w:val="Hyperlink"/>
              <w:lang w:eastAsia="lt-LT"/>
            </w:rPr>
          </w:pPr>
          <w:hyperlink w:anchor="_Toc1487508557">
            <w:r w:rsidR="68683882" w:rsidRPr="68683882">
              <w:rPr>
                <w:rStyle w:val="Hyperlink"/>
              </w:rPr>
              <w:t>7.1.</w:t>
            </w:r>
            <w:r w:rsidR="00F90086">
              <w:tab/>
            </w:r>
            <w:r w:rsidR="68683882" w:rsidRPr="68683882">
              <w:rPr>
                <w:rStyle w:val="Hyperlink"/>
              </w:rPr>
              <w:t>Types of resources</w:t>
            </w:r>
            <w:r w:rsidR="00F90086">
              <w:tab/>
            </w:r>
            <w:r w:rsidR="00F90086">
              <w:fldChar w:fldCharType="begin"/>
            </w:r>
            <w:r w:rsidR="00F90086">
              <w:instrText>PAGEREF _Toc1487508557 \h</w:instrText>
            </w:r>
            <w:r w:rsidR="00F90086">
              <w:fldChar w:fldCharType="separate"/>
            </w:r>
            <w:r w:rsidR="68683882" w:rsidRPr="68683882">
              <w:rPr>
                <w:rStyle w:val="Hyperlink"/>
              </w:rPr>
              <w:t>7</w:t>
            </w:r>
            <w:r w:rsidR="00F90086">
              <w:fldChar w:fldCharType="end"/>
            </w:r>
          </w:hyperlink>
        </w:p>
        <w:p w14:paraId="12370FDE" w14:textId="502ACCC6" w:rsidR="000D0688" w:rsidRPr="0024559F" w:rsidRDefault="002B3BBF" w:rsidP="68683882">
          <w:pPr>
            <w:pStyle w:val="TOC1"/>
            <w:tabs>
              <w:tab w:val="clear" w:pos="9514"/>
              <w:tab w:val="left" w:pos="435"/>
              <w:tab w:val="right" w:leader="dot" w:pos="9510"/>
            </w:tabs>
            <w:rPr>
              <w:rStyle w:val="Hyperlink"/>
              <w:lang w:eastAsia="lt-LT"/>
            </w:rPr>
          </w:pPr>
          <w:hyperlink w:anchor="_Toc321121232">
            <w:r w:rsidR="68683882" w:rsidRPr="68683882">
              <w:rPr>
                <w:rStyle w:val="Hyperlink"/>
              </w:rPr>
              <w:t>7.2.</w:t>
            </w:r>
            <w:r w:rsidR="00F90086">
              <w:tab/>
            </w:r>
            <w:r w:rsidR="68683882" w:rsidRPr="68683882">
              <w:rPr>
                <w:rStyle w:val="Hyperlink"/>
              </w:rPr>
              <w:t>Prequalification</w:t>
            </w:r>
            <w:r w:rsidR="00F90086">
              <w:tab/>
            </w:r>
            <w:r w:rsidR="00F90086">
              <w:fldChar w:fldCharType="begin"/>
            </w:r>
            <w:r w:rsidR="00F90086">
              <w:instrText>PAGEREF _Toc321121232 \h</w:instrText>
            </w:r>
            <w:r w:rsidR="00F90086">
              <w:fldChar w:fldCharType="separate"/>
            </w:r>
            <w:r w:rsidR="68683882" w:rsidRPr="68683882">
              <w:rPr>
                <w:rStyle w:val="Hyperlink"/>
              </w:rPr>
              <w:t>7</w:t>
            </w:r>
            <w:r w:rsidR="00F90086">
              <w:fldChar w:fldCharType="end"/>
            </w:r>
          </w:hyperlink>
        </w:p>
        <w:p w14:paraId="65687AA2" w14:textId="7AE8A67F" w:rsidR="000D0688" w:rsidRPr="0024559F" w:rsidRDefault="002B3BBF" w:rsidP="68683882">
          <w:pPr>
            <w:pStyle w:val="TOC1"/>
            <w:tabs>
              <w:tab w:val="clear" w:pos="9514"/>
              <w:tab w:val="left" w:pos="435"/>
              <w:tab w:val="right" w:leader="dot" w:pos="9510"/>
            </w:tabs>
            <w:rPr>
              <w:rStyle w:val="Hyperlink"/>
              <w:lang w:eastAsia="lt-LT"/>
            </w:rPr>
          </w:pPr>
          <w:hyperlink w:anchor="_Toc1302178370">
            <w:r w:rsidR="68683882" w:rsidRPr="68683882">
              <w:rPr>
                <w:rStyle w:val="Hyperlink"/>
              </w:rPr>
              <w:t>8.</w:t>
            </w:r>
            <w:r w:rsidR="00F90086">
              <w:tab/>
            </w:r>
            <w:r w:rsidR="68683882" w:rsidRPr="68683882">
              <w:rPr>
                <w:rStyle w:val="Hyperlink"/>
              </w:rPr>
              <w:t>Capacity bid submission and procurement</w:t>
            </w:r>
            <w:r w:rsidR="00F90086">
              <w:tab/>
            </w:r>
            <w:r w:rsidR="00F90086">
              <w:fldChar w:fldCharType="begin"/>
            </w:r>
            <w:r w:rsidR="00F90086">
              <w:instrText>PAGEREF _Toc1302178370 \h</w:instrText>
            </w:r>
            <w:r w:rsidR="00F90086">
              <w:fldChar w:fldCharType="separate"/>
            </w:r>
            <w:r w:rsidR="68683882" w:rsidRPr="68683882">
              <w:rPr>
                <w:rStyle w:val="Hyperlink"/>
              </w:rPr>
              <w:t>8</w:t>
            </w:r>
            <w:r w:rsidR="00F90086">
              <w:fldChar w:fldCharType="end"/>
            </w:r>
          </w:hyperlink>
        </w:p>
        <w:p w14:paraId="74358186" w14:textId="7B0DCDF0" w:rsidR="000D0688" w:rsidRPr="0024559F" w:rsidRDefault="002B3BBF" w:rsidP="68683882">
          <w:pPr>
            <w:pStyle w:val="TOC1"/>
            <w:tabs>
              <w:tab w:val="clear" w:pos="9514"/>
              <w:tab w:val="left" w:pos="435"/>
              <w:tab w:val="right" w:leader="dot" w:pos="9510"/>
            </w:tabs>
            <w:rPr>
              <w:rStyle w:val="Hyperlink"/>
              <w:lang w:eastAsia="lt-LT"/>
            </w:rPr>
          </w:pPr>
          <w:hyperlink w:anchor="_Toc865748581">
            <w:r w:rsidR="68683882" w:rsidRPr="68683882">
              <w:rPr>
                <w:rStyle w:val="Hyperlink"/>
              </w:rPr>
              <w:t>8.1.</w:t>
            </w:r>
            <w:r w:rsidR="00F90086">
              <w:tab/>
            </w:r>
            <w:r w:rsidR="68683882" w:rsidRPr="68683882">
              <w:rPr>
                <w:rStyle w:val="Hyperlink"/>
              </w:rPr>
              <w:t>Transfer of obligations</w:t>
            </w:r>
            <w:r w:rsidR="00F90086">
              <w:tab/>
            </w:r>
            <w:r w:rsidR="00F90086">
              <w:fldChar w:fldCharType="begin"/>
            </w:r>
            <w:r w:rsidR="00F90086">
              <w:instrText>PAGEREF _Toc865748581 \h</w:instrText>
            </w:r>
            <w:r w:rsidR="00F90086">
              <w:fldChar w:fldCharType="separate"/>
            </w:r>
            <w:r w:rsidR="68683882" w:rsidRPr="68683882">
              <w:rPr>
                <w:rStyle w:val="Hyperlink"/>
              </w:rPr>
              <w:t>9</w:t>
            </w:r>
            <w:r w:rsidR="00F90086">
              <w:fldChar w:fldCharType="end"/>
            </w:r>
          </w:hyperlink>
        </w:p>
        <w:p w14:paraId="43B6E85E" w14:textId="6EE67C36" w:rsidR="000D0688" w:rsidRPr="0024559F" w:rsidRDefault="002B3BBF" w:rsidP="68683882">
          <w:pPr>
            <w:pStyle w:val="TOC1"/>
            <w:tabs>
              <w:tab w:val="clear" w:pos="9514"/>
              <w:tab w:val="left" w:pos="435"/>
              <w:tab w:val="right" w:leader="dot" w:pos="9510"/>
            </w:tabs>
            <w:rPr>
              <w:rStyle w:val="Hyperlink"/>
              <w:lang w:eastAsia="lt-LT"/>
            </w:rPr>
          </w:pPr>
          <w:hyperlink w:anchor="_Toc970223994">
            <w:r w:rsidR="68683882" w:rsidRPr="68683882">
              <w:rPr>
                <w:rStyle w:val="Hyperlink"/>
              </w:rPr>
              <w:t>8.2.</w:t>
            </w:r>
            <w:r w:rsidR="00F90086">
              <w:tab/>
            </w:r>
            <w:r w:rsidR="68683882" w:rsidRPr="68683882">
              <w:rPr>
                <w:rStyle w:val="Hyperlink"/>
              </w:rPr>
              <w:t>Additional rules for Mandatory energy bids</w:t>
            </w:r>
            <w:r w:rsidR="00F90086">
              <w:tab/>
            </w:r>
            <w:r w:rsidR="00F90086">
              <w:fldChar w:fldCharType="begin"/>
            </w:r>
            <w:r w:rsidR="00F90086">
              <w:instrText>PAGEREF _Toc970223994 \h</w:instrText>
            </w:r>
            <w:r w:rsidR="00F90086">
              <w:fldChar w:fldCharType="separate"/>
            </w:r>
            <w:r w:rsidR="68683882" w:rsidRPr="68683882">
              <w:rPr>
                <w:rStyle w:val="Hyperlink"/>
              </w:rPr>
              <w:t>9</w:t>
            </w:r>
            <w:r w:rsidR="00F90086">
              <w:fldChar w:fldCharType="end"/>
            </w:r>
          </w:hyperlink>
        </w:p>
        <w:p w14:paraId="5AFD2D32" w14:textId="1C002126" w:rsidR="000D0688" w:rsidRPr="0024559F" w:rsidRDefault="002B3BBF" w:rsidP="68683882">
          <w:pPr>
            <w:pStyle w:val="TOC1"/>
            <w:tabs>
              <w:tab w:val="clear" w:pos="9514"/>
              <w:tab w:val="left" w:pos="435"/>
              <w:tab w:val="right" w:leader="dot" w:pos="9510"/>
            </w:tabs>
            <w:rPr>
              <w:rStyle w:val="Hyperlink"/>
              <w:lang w:eastAsia="lt-LT"/>
            </w:rPr>
          </w:pPr>
          <w:hyperlink w:anchor="_Toc175990183">
            <w:r w:rsidR="68683882" w:rsidRPr="68683882">
              <w:rPr>
                <w:rStyle w:val="Hyperlink"/>
              </w:rPr>
              <w:t>9.</w:t>
            </w:r>
            <w:r w:rsidR="00F90086">
              <w:tab/>
            </w:r>
            <w:r w:rsidR="68683882" w:rsidRPr="68683882">
              <w:rPr>
                <w:rStyle w:val="Hyperlink"/>
              </w:rPr>
              <w:t>Algorithm</w:t>
            </w:r>
            <w:r w:rsidR="00F90086">
              <w:tab/>
            </w:r>
            <w:r w:rsidR="00F90086">
              <w:fldChar w:fldCharType="begin"/>
            </w:r>
            <w:r w:rsidR="00F90086">
              <w:instrText>PAGEREF _Toc175990183 \h</w:instrText>
            </w:r>
            <w:r w:rsidR="00F90086">
              <w:fldChar w:fldCharType="separate"/>
            </w:r>
            <w:r w:rsidR="68683882" w:rsidRPr="68683882">
              <w:rPr>
                <w:rStyle w:val="Hyperlink"/>
              </w:rPr>
              <w:t>9</w:t>
            </w:r>
            <w:r w:rsidR="00F90086">
              <w:fldChar w:fldCharType="end"/>
            </w:r>
          </w:hyperlink>
        </w:p>
        <w:p w14:paraId="3DBBC935" w14:textId="025C1C32" w:rsidR="000D0688" w:rsidRPr="0024559F" w:rsidRDefault="002B3BBF" w:rsidP="68683882">
          <w:pPr>
            <w:pStyle w:val="TOC1"/>
            <w:tabs>
              <w:tab w:val="clear" w:pos="9514"/>
              <w:tab w:val="left" w:pos="435"/>
              <w:tab w:val="right" w:leader="dot" w:pos="9510"/>
            </w:tabs>
            <w:rPr>
              <w:rStyle w:val="Hyperlink"/>
              <w:lang w:eastAsia="lt-LT"/>
            </w:rPr>
          </w:pPr>
          <w:hyperlink w:anchor="_Toc1097551579">
            <w:r w:rsidR="68683882" w:rsidRPr="68683882">
              <w:rPr>
                <w:rStyle w:val="Hyperlink"/>
              </w:rPr>
              <w:t>9.1.</w:t>
            </w:r>
            <w:r w:rsidR="00F90086">
              <w:tab/>
            </w:r>
            <w:r w:rsidR="68683882" w:rsidRPr="68683882">
              <w:rPr>
                <w:rStyle w:val="Hyperlink"/>
              </w:rPr>
              <w:t>FCR process</w:t>
            </w:r>
            <w:r w:rsidR="00F90086">
              <w:tab/>
            </w:r>
            <w:r w:rsidR="00F90086">
              <w:fldChar w:fldCharType="begin"/>
            </w:r>
            <w:r w:rsidR="00F90086">
              <w:instrText>PAGEREF _Toc1097551579 \h</w:instrText>
            </w:r>
            <w:r w:rsidR="00F90086">
              <w:fldChar w:fldCharType="separate"/>
            </w:r>
            <w:r w:rsidR="68683882" w:rsidRPr="68683882">
              <w:rPr>
                <w:rStyle w:val="Hyperlink"/>
              </w:rPr>
              <w:t>9</w:t>
            </w:r>
            <w:r w:rsidR="00F90086">
              <w:fldChar w:fldCharType="end"/>
            </w:r>
          </w:hyperlink>
        </w:p>
        <w:p w14:paraId="6822BB43" w14:textId="5EEF3EA2" w:rsidR="000D0688" w:rsidRPr="0024559F" w:rsidRDefault="002B3BBF" w:rsidP="68683882">
          <w:pPr>
            <w:pStyle w:val="TOC1"/>
            <w:tabs>
              <w:tab w:val="clear" w:pos="9514"/>
              <w:tab w:val="left" w:pos="435"/>
              <w:tab w:val="right" w:leader="dot" w:pos="9510"/>
            </w:tabs>
            <w:rPr>
              <w:rStyle w:val="Hyperlink"/>
              <w:lang w:eastAsia="lt-LT"/>
            </w:rPr>
          </w:pPr>
          <w:hyperlink w:anchor="_Toc804316461">
            <w:r w:rsidR="68683882" w:rsidRPr="68683882">
              <w:rPr>
                <w:rStyle w:val="Hyperlink"/>
              </w:rPr>
              <w:t>9.2.</w:t>
            </w:r>
            <w:r w:rsidR="00F90086">
              <w:tab/>
            </w:r>
            <w:r w:rsidR="68683882" w:rsidRPr="68683882">
              <w:rPr>
                <w:rStyle w:val="Hyperlink"/>
              </w:rPr>
              <w:t>FCR procurement algorithm</w:t>
            </w:r>
            <w:r w:rsidR="00F90086">
              <w:tab/>
            </w:r>
            <w:r w:rsidR="00F90086">
              <w:fldChar w:fldCharType="begin"/>
            </w:r>
            <w:r w:rsidR="00F90086">
              <w:instrText>PAGEREF _Toc804316461 \h</w:instrText>
            </w:r>
            <w:r w:rsidR="00F90086">
              <w:fldChar w:fldCharType="separate"/>
            </w:r>
            <w:r w:rsidR="68683882" w:rsidRPr="68683882">
              <w:rPr>
                <w:rStyle w:val="Hyperlink"/>
              </w:rPr>
              <w:t>10</w:t>
            </w:r>
            <w:r w:rsidR="00F90086">
              <w:fldChar w:fldCharType="end"/>
            </w:r>
          </w:hyperlink>
        </w:p>
        <w:p w14:paraId="1776DE59" w14:textId="02F09145" w:rsidR="000D0688" w:rsidRPr="0024559F" w:rsidRDefault="002B3BBF" w:rsidP="68683882">
          <w:pPr>
            <w:pStyle w:val="TOC1"/>
            <w:tabs>
              <w:tab w:val="clear" w:pos="9514"/>
              <w:tab w:val="left" w:pos="435"/>
              <w:tab w:val="right" w:leader="dot" w:pos="9510"/>
            </w:tabs>
            <w:rPr>
              <w:rStyle w:val="Hyperlink"/>
              <w:lang w:eastAsia="lt-LT"/>
            </w:rPr>
          </w:pPr>
          <w:hyperlink w:anchor="_Toc819132930">
            <w:r w:rsidR="68683882" w:rsidRPr="68683882">
              <w:rPr>
                <w:rStyle w:val="Hyperlink"/>
              </w:rPr>
              <w:t>9.3.</w:t>
            </w:r>
            <w:r w:rsidR="00F90086">
              <w:tab/>
            </w:r>
            <w:r w:rsidR="68683882" w:rsidRPr="68683882">
              <w:rPr>
                <w:rStyle w:val="Hyperlink"/>
              </w:rPr>
              <w:t>FRR process</w:t>
            </w:r>
            <w:r w:rsidR="00F90086">
              <w:tab/>
            </w:r>
            <w:r w:rsidR="00F90086">
              <w:fldChar w:fldCharType="begin"/>
            </w:r>
            <w:r w:rsidR="00F90086">
              <w:instrText>PAGEREF _Toc819132930 \h</w:instrText>
            </w:r>
            <w:r w:rsidR="00F90086">
              <w:fldChar w:fldCharType="separate"/>
            </w:r>
            <w:r w:rsidR="68683882" w:rsidRPr="68683882">
              <w:rPr>
                <w:rStyle w:val="Hyperlink"/>
              </w:rPr>
              <w:t>10</w:t>
            </w:r>
            <w:r w:rsidR="00F90086">
              <w:fldChar w:fldCharType="end"/>
            </w:r>
          </w:hyperlink>
        </w:p>
        <w:p w14:paraId="463CAA1D" w14:textId="4EF376BE" w:rsidR="000D0688" w:rsidRPr="0024559F" w:rsidRDefault="002B3BBF" w:rsidP="68683882">
          <w:pPr>
            <w:pStyle w:val="TOC1"/>
            <w:tabs>
              <w:tab w:val="clear" w:pos="9514"/>
              <w:tab w:val="left" w:pos="435"/>
              <w:tab w:val="right" w:leader="dot" w:pos="9510"/>
            </w:tabs>
            <w:rPr>
              <w:rStyle w:val="Hyperlink"/>
              <w:lang w:eastAsia="lt-LT"/>
            </w:rPr>
          </w:pPr>
          <w:hyperlink w:anchor="_Toc1326105706">
            <w:r w:rsidR="68683882" w:rsidRPr="68683882">
              <w:rPr>
                <w:rStyle w:val="Hyperlink"/>
              </w:rPr>
              <w:t>9.4.</w:t>
            </w:r>
            <w:r w:rsidR="00F90086">
              <w:tab/>
            </w:r>
            <w:r w:rsidR="68683882" w:rsidRPr="68683882">
              <w:rPr>
                <w:rStyle w:val="Hyperlink"/>
              </w:rPr>
              <w:t>FRR balancing capacity procurement algorithm</w:t>
            </w:r>
            <w:r w:rsidR="00F90086">
              <w:tab/>
            </w:r>
            <w:r w:rsidR="00F90086">
              <w:fldChar w:fldCharType="begin"/>
            </w:r>
            <w:r w:rsidR="00F90086">
              <w:instrText>PAGEREF _Toc1326105706 \h</w:instrText>
            </w:r>
            <w:r w:rsidR="00F90086">
              <w:fldChar w:fldCharType="separate"/>
            </w:r>
            <w:r w:rsidR="68683882" w:rsidRPr="68683882">
              <w:rPr>
                <w:rStyle w:val="Hyperlink"/>
              </w:rPr>
              <w:t>12</w:t>
            </w:r>
            <w:r w:rsidR="00F90086">
              <w:fldChar w:fldCharType="end"/>
            </w:r>
          </w:hyperlink>
        </w:p>
        <w:p w14:paraId="2056F3B4" w14:textId="194F435B" w:rsidR="000D0688" w:rsidRPr="0024559F" w:rsidRDefault="002B3BBF" w:rsidP="68683882">
          <w:pPr>
            <w:pStyle w:val="TOC1"/>
            <w:tabs>
              <w:tab w:val="clear" w:pos="9514"/>
              <w:tab w:val="left" w:pos="435"/>
              <w:tab w:val="right" w:leader="dot" w:pos="9510"/>
            </w:tabs>
            <w:rPr>
              <w:rStyle w:val="Hyperlink"/>
              <w:lang w:eastAsia="lt-LT"/>
            </w:rPr>
          </w:pPr>
          <w:hyperlink w:anchor="_Toc2051351429">
            <w:r w:rsidR="68683882" w:rsidRPr="68683882">
              <w:rPr>
                <w:rStyle w:val="Hyperlink"/>
              </w:rPr>
              <w:t>9.5.</w:t>
            </w:r>
            <w:r w:rsidR="00F90086">
              <w:tab/>
            </w:r>
            <w:r w:rsidR="68683882" w:rsidRPr="68683882">
              <w:rPr>
                <w:rStyle w:val="Hyperlink"/>
              </w:rPr>
              <w:t>CZC allocation for balancing capacity</w:t>
            </w:r>
            <w:r w:rsidR="00F90086">
              <w:tab/>
            </w:r>
            <w:r w:rsidR="00F90086">
              <w:fldChar w:fldCharType="begin"/>
            </w:r>
            <w:r w:rsidR="00F90086">
              <w:instrText>PAGEREF _Toc2051351429 \h</w:instrText>
            </w:r>
            <w:r w:rsidR="00F90086">
              <w:fldChar w:fldCharType="separate"/>
            </w:r>
            <w:r w:rsidR="68683882" w:rsidRPr="68683882">
              <w:rPr>
                <w:rStyle w:val="Hyperlink"/>
              </w:rPr>
              <w:t>12</w:t>
            </w:r>
            <w:r w:rsidR="00F90086">
              <w:fldChar w:fldCharType="end"/>
            </w:r>
          </w:hyperlink>
        </w:p>
        <w:p w14:paraId="42CFF9B6" w14:textId="613A0F20" w:rsidR="000D0688" w:rsidRPr="0024559F" w:rsidRDefault="002B3BBF" w:rsidP="68683882">
          <w:pPr>
            <w:pStyle w:val="TOC1"/>
            <w:tabs>
              <w:tab w:val="clear" w:pos="9514"/>
              <w:tab w:val="left" w:pos="435"/>
              <w:tab w:val="right" w:leader="dot" w:pos="9510"/>
            </w:tabs>
            <w:rPr>
              <w:rStyle w:val="Hyperlink"/>
              <w:lang w:eastAsia="lt-LT"/>
            </w:rPr>
          </w:pPr>
          <w:hyperlink w:anchor="_Toc1934567946">
            <w:r w:rsidR="68683882" w:rsidRPr="68683882">
              <w:rPr>
                <w:rStyle w:val="Hyperlink"/>
              </w:rPr>
              <w:t>10.</w:t>
            </w:r>
            <w:r w:rsidR="00F90086">
              <w:tab/>
            </w:r>
            <w:r w:rsidR="68683882" w:rsidRPr="68683882">
              <w:rPr>
                <w:rStyle w:val="Hyperlink"/>
              </w:rPr>
              <w:t>Fallback procedures</w:t>
            </w:r>
            <w:r w:rsidR="00F90086">
              <w:tab/>
            </w:r>
            <w:r w:rsidR="00F90086">
              <w:fldChar w:fldCharType="begin"/>
            </w:r>
            <w:r w:rsidR="00F90086">
              <w:instrText>PAGEREF _Toc1934567946 \h</w:instrText>
            </w:r>
            <w:r w:rsidR="00F90086">
              <w:fldChar w:fldCharType="separate"/>
            </w:r>
            <w:r w:rsidR="68683882" w:rsidRPr="68683882">
              <w:rPr>
                <w:rStyle w:val="Hyperlink"/>
              </w:rPr>
              <w:t>12</w:t>
            </w:r>
            <w:r w:rsidR="00F90086">
              <w:fldChar w:fldCharType="end"/>
            </w:r>
          </w:hyperlink>
        </w:p>
        <w:p w14:paraId="3FAB933C" w14:textId="45736707" w:rsidR="000D0688" w:rsidRPr="0024559F" w:rsidRDefault="002B3BBF" w:rsidP="68683882">
          <w:pPr>
            <w:pStyle w:val="TOC1"/>
            <w:tabs>
              <w:tab w:val="clear" w:pos="9514"/>
              <w:tab w:val="left" w:pos="435"/>
              <w:tab w:val="right" w:leader="dot" w:pos="9510"/>
            </w:tabs>
            <w:rPr>
              <w:rStyle w:val="Hyperlink"/>
              <w:lang w:eastAsia="lt-LT"/>
            </w:rPr>
          </w:pPr>
          <w:hyperlink w:anchor="_Toc2063053382">
            <w:r w:rsidR="68683882" w:rsidRPr="68683882">
              <w:rPr>
                <w:rStyle w:val="Hyperlink"/>
              </w:rPr>
              <w:t>11.</w:t>
            </w:r>
            <w:r w:rsidR="00F90086">
              <w:tab/>
            </w:r>
            <w:r w:rsidR="68683882" w:rsidRPr="68683882">
              <w:rPr>
                <w:rStyle w:val="Hyperlink"/>
              </w:rPr>
              <w:t>TSO-BSP settlement</w:t>
            </w:r>
            <w:r w:rsidR="00F90086">
              <w:tab/>
            </w:r>
            <w:r w:rsidR="00F90086">
              <w:fldChar w:fldCharType="begin"/>
            </w:r>
            <w:r w:rsidR="00F90086">
              <w:instrText>PAGEREF _Toc2063053382 \h</w:instrText>
            </w:r>
            <w:r w:rsidR="00F90086">
              <w:fldChar w:fldCharType="separate"/>
            </w:r>
            <w:r w:rsidR="68683882" w:rsidRPr="68683882">
              <w:rPr>
                <w:rStyle w:val="Hyperlink"/>
              </w:rPr>
              <w:t>13</w:t>
            </w:r>
            <w:r w:rsidR="00F90086">
              <w:fldChar w:fldCharType="end"/>
            </w:r>
          </w:hyperlink>
        </w:p>
        <w:p w14:paraId="343C2FA7" w14:textId="498A9166" w:rsidR="000D0688" w:rsidRPr="0024559F" w:rsidRDefault="002B3BBF" w:rsidP="68683882">
          <w:pPr>
            <w:pStyle w:val="TOC1"/>
            <w:tabs>
              <w:tab w:val="clear" w:pos="9514"/>
              <w:tab w:val="left" w:pos="435"/>
              <w:tab w:val="right" w:leader="dot" w:pos="9510"/>
            </w:tabs>
            <w:rPr>
              <w:rStyle w:val="Hyperlink"/>
              <w:lang w:eastAsia="lt-LT"/>
            </w:rPr>
          </w:pPr>
          <w:hyperlink w:anchor="_Toc319380997">
            <w:r w:rsidR="68683882" w:rsidRPr="68683882">
              <w:rPr>
                <w:rStyle w:val="Hyperlink"/>
              </w:rPr>
              <w:t>12.</w:t>
            </w:r>
            <w:r w:rsidR="00F90086">
              <w:tab/>
            </w:r>
            <w:r w:rsidR="68683882" w:rsidRPr="68683882">
              <w:rPr>
                <w:rStyle w:val="Hyperlink"/>
              </w:rPr>
              <w:t>Congestion income</w:t>
            </w:r>
            <w:r w:rsidR="00F90086">
              <w:tab/>
            </w:r>
            <w:r w:rsidR="00F90086">
              <w:fldChar w:fldCharType="begin"/>
            </w:r>
            <w:r w:rsidR="00F90086">
              <w:instrText>PAGEREF _Toc319380997 \h</w:instrText>
            </w:r>
            <w:r w:rsidR="00F90086">
              <w:fldChar w:fldCharType="separate"/>
            </w:r>
            <w:r w:rsidR="68683882" w:rsidRPr="68683882">
              <w:rPr>
                <w:rStyle w:val="Hyperlink"/>
              </w:rPr>
              <w:t>14</w:t>
            </w:r>
            <w:r w:rsidR="00F90086">
              <w:fldChar w:fldCharType="end"/>
            </w:r>
          </w:hyperlink>
          <w:r w:rsidR="00F90086">
            <w:fldChar w:fldCharType="end"/>
          </w:r>
        </w:p>
      </w:sdtContent>
    </w:sdt>
    <w:p w14:paraId="23337B41" w14:textId="5CD95D8F" w:rsidR="00074ADD" w:rsidRPr="0024559F" w:rsidRDefault="00074ADD"/>
    <w:p w14:paraId="04369164" w14:textId="4B1D21E5" w:rsidR="005E1BC2" w:rsidRPr="0024559F" w:rsidRDefault="002726BC">
      <w:pPr>
        <w:rPr>
          <w:rFonts w:cstheme="minorHAnsi"/>
          <w:color w:val="000000" w:themeColor="text1"/>
        </w:rPr>
      </w:pPr>
      <w:r w:rsidRPr="0024559F">
        <w:rPr>
          <w:rFonts w:cstheme="minorHAnsi"/>
          <w:color w:val="000000" w:themeColor="text1"/>
        </w:rPr>
        <w:br w:type="page"/>
      </w:r>
    </w:p>
    <w:p w14:paraId="60506DA6" w14:textId="48E3A1FC" w:rsidR="00E54533" w:rsidRPr="0024559F" w:rsidRDefault="00E54533" w:rsidP="00370583">
      <w:pPr>
        <w:pStyle w:val="headline1"/>
        <w:rPr>
          <w:lang w:val="en-GB"/>
        </w:rPr>
      </w:pPr>
      <w:bookmarkStart w:id="1" w:name="_Toc1500841925"/>
      <w:r w:rsidRPr="68683882">
        <w:rPr>
          <w:lang w:val="en-GB"/>
        </w:rPr>
        <w:lastRenderedPageBreak/>
        <w:t>Introduction</w:t>
      </w:r>
      <w:bookmarkEnd w:id="1"/>
    </w:p>
    <w:p w14:paraId="288D54A4" w14:textId="11324D58" w:rsidR="00E54533" w:rsidRPr="0024559F" w:rsidRDefault="00F87043" w:rsidP="00E54533">
      <w:pPr>
        <w:pStyle w:val="textregular"/>
      </w:pPr>
      <w:r w:rsidRPr="0024559F">
        <w:rPr>
          <w:rFonts w:ascii="Times New Roman" w:eastAsia="Times New Roman" w:hAnsi="Times New Roman" w:cs="Times New Roman"/>
        </w:rPr>
        <w:t xml:space="preserve">The document at hand aims to further explain the proposal for the establishment of common and harmonized rules and processes for the exchange, sharing and procurement of aFRR and mFRR balancing capacity in accordance with article 33(1) and Article 38(1) of the Commission Regulation (EU) 2017/2195 of 23 November 2017 establishing a guideline on electricity balancing </w:t>
      </w:r>
      <w:r w:rsidR="004C5F1D" w:rsidRPr="0024559F">
        <w:rPr>
          <w:rFonts w:ascii="Times New Roman" w:eastAsia="Times New Roman" w:hAnsi="Times New Roman" w:cs="Times New Roman"/>
        </w:rPr>
        <w:t>(</w:t>
      </w:r>
      <w:r w:rsidRPr="0024559F">
        <w:rPr>
          <w:rFonts w:ascii="Times New Roman" w:eastAsia="Times New Roman" w:hAnsi="Times New Roman" w:cs="Times New Roman"/>
        </w:rPr>
        <w:t>hereinafter referred to as „</w:t>
      </w:r>
      <w:proofErr w:type="gramStart"/>
      <w:r w:rsidRPr="0024559F">
        <w:rPr>
          <w:rFonts w:ascii="Times New Roman" w:eastAsia="Times New Roman" w:hAnsi="Times New Roman" w:cs="Times New Roman"/>
        </w:rPr>
        <w:t>EBGL“</w:t>
      </w:r>
      <w:proofErr w:type="gramEnd"/>
      <w:r w:rsidRPr="0024559F">
        <w:rPr>
          <w:rFonts w:ascii="Times New Roman" w:eastAsia="Times New Roman" w:hAnsi="Times New Roman" w:cs="Times New Roman"/>
        </w:rPr>
        <w:t xml:space="preserve">) by </w:t>
      </w:r>
      <w:proofErr w:type="spellStart"/>
      <w:r w:rsidRPr="0024559F">
        <w:rPr>
          <w:rFonts w:ascii="Times New Roman" w:eastAsia="Times New Roman" w:hAnsi="Times New Roman" w:cs="Times New Roman"/>
        </w:rPr>
        <w:t>Elering</w:t>
      </w:r>
      <w:proofErr w:type="spellEnd"/>
      <w:r w:rsidRPr="0024559F">
        <w:rPr>
          <w:rFonts w:ascii="Times New Roman" w:eastAsia="Times New Roman" w:hAnsi="Times New Roman" w:cs="Times New Roman"/>
        </w:rPr>
        <w:t>, AST and Litgrid. This proposal is hereinafter referred to as the „</w:t>
      </w:r>
      <w:proofErr w:type="gramStart"/>
      <w:r w:rsidRPr="0024559F">
        <w:rPr>
          <w:rFonts w:ascii="Times New Roman" w:eastAsia="Times New Roman" w:hAnsi="Times New Roman" w:cs="Times New Roman"/>
        </w:rPr>
        <w:t>Proposal“</w:t>
      </w:r>
      <w:proofErr w:type="gramEnd"/>
      <w:r w:rsidRPr="0024559F">
        <w:rPr>
          <w:rFonts w:ascii="Times New Roman" w:eastAsia="Times New Roman" w:hAnsi="Times New Roman" w:cs="Times New Roman"/>
        </w:rPr>
        <w:t xml:space="preserve">, and </w:t>
      </w:r>
      <w:proofErr w:type="spellStart"/>
      <w:r w:rsidRPr="0024559F">
        <w:rPr>
          <w:rFonts w:ascii="Times New Roman" w:eastAsia="Times New Roman" w:hAnsi="Times New Roman" w:cs="Times New Roman"/>
        </w:rPr>
        <w:t>Elering</w:t>
      </w:r>
      <w:proofErr w:type="spellEnd"/>
      <w:r w:rsidRPr="0024559F">
        <w:rPr>
          <w:rFonts w:ascii="Times New Roman" w:eastAsia="Times New Roman" w:hAnsi="Times New Roman" w:cs="Times New Roman"/>
        </w:rPr>
        <w:t>, AST and Litgrid are hereinafter collectively referred to as the „Baltic TSOs“.</w:t>
      </w:r>
    </w:p>
    <w:p w14:paraId="5FE826B2" w14:textId="2268FA56" w:rsidR="00E54533" w:rsidRPr="0024559F" w:rsidRDefault="00E54533" w:rsidP="00593C0C">
      <w:pPr>
        <w:pStyle w:val="headline1"/>
        <w:rPr>
          <w:lang w:val="en-GB"/>
        </w:rPr>
      </w:pPr>
      <w:bookmarkStart w:id="2" w:name="_Toc843752379"/>
      <w:r w:rsidRPr="68683882">
        <w:rPr>
          <w:lang w:val="en-GB"/>
        </w:rPr>
        <w:t>Purpose</w:t>
      </w:r>
      <w:bookmarkEnd w:id="2"/>
    </w:p>
    <w:p w14:paraId="27CA1BF7" w14:textId="4144B61C" w:rsidR="00AB3B08" w:rsidRPr="0024559F" w:rsidRDefault="00AB3B08" w:rsidP="00AB3B08">
      <w:pPr>
        <w:pStyle w:val="textregular"/>
      </w:pPr>
      <w:r w:rsidRPr="0024559F">
        <w:t>The purpose of the FCR and FRR balancing capacity markets is to ensure the availability of relevant reserves according to the dimensioning process in the Baltic TSOs and Baltic LFC block, and the regional security of supply in general.</w:t>
      </w:r>
    </w:p>
    <w:p w14:paraId="16509B78" w14:textId="736F445E" w:rsidR="00E54533" w:rsidRPr="0024559F" w:rsidRDefault="00AB3B08" w:rsidP="00E54533">
      <w:pPr>
        <w:pStyle w:val="textregular"/>
      </w:pPr>
      <w:r w:rsidRPr="0024559F">
        <w:t xml:space="preserve">The establishment on the common balancing capacity market is imperative to </w:t>
      </w:r>
      <w:r w:rsidR="00C1353E" w:rsidRPr="0024559F">
        <w:t>ensure</w:t>
      </w:r>
      <w:r w:rsidRPr="0024559F">
        <w:t xml:space="preserve"> sufficient </w:t>
      </w:r>
      <w:r w:rsidR="00C1353E" w:rsidRPr="0024559F">
        <w:t xml:space="preserve">volume of </w:t>
      </w:r>
      <w:r w:rsidRPr="0024559F">
        <w:t xml:space="preserve">balancing capacity reserves </w:t>
      </w:r>
      <w:r w:rsidR="00C1353E" w:rsidRPr="0024559F">
        <w:t>within the 3</w:t>
      </w:r>
      <w:r w:rsidRPr="0024559F">
        <w:t xml:space="preserve"> Baltic bidding zones</w:t>
      </w:r>
      <w:r w:rsidR="00C1353E" w:rsidRPr="0024559F">
        <w:t xml:space="preserve"> </w:t>
      </w:r>
      <w:r w:rsidR="00C228C6" w:rsidRPr="0024559F">
        <w:t xml:space="preserve">with </w:t>
      </w:r>
      <w:r w:rsidR="00C1353E" w:rsidRPr="0024559F">
        <w:t>the highest</w:t>
      </w:r>
      <w:r w:rsidRPr="0024559F">
        <w:t xml:space="preserve"> possible </w:t>
      </w:r>
      <w:r w:rsidR="00C1353E" w:rsidRPr="0024559F">
        <w:t xml:space="preserve">welfare through the optimization of </w:t>
      </w:r>
      <w:r w:rsidRPr="0024559F">
        <w:t>CZC between the balancing capacity and the day-ahead markets. CZC allocation is a crucial part of the Baltic balancing capacity market without which Baltic count</w:t>
      </w:r>
      <w:r w:rsidR="43EC8573" w:rsidRPr="0024559F">
        <w:t>r</w:t>
      </w:r>
      <w:r w:rsidRPr="0024559F">
        <w:t xml:space="preserve">ies are unable to </w:t>
      </w:r>
      <w:r w:rsidR="00F75299" w:rsidRPr="0024559F">
        <w:t>fulfil</w:t>
      </w:r>
      <w:r w:rsidRPr="0024559F">
        <w:t xml:space="preserve"> their </w:t>
      </w:r>
      <w:r w:rsidR="00BE4DDA" w:rsidRPr="0024559F">
        <w:t>reserve</w:t>
      </w:r>
      <w:r w:rsidRPr="0024559F">
        <w:t xml:space="preserve"> requirements</w:t>
      </w:r>
      <w:r w:rsidR="69B0988B" w:rsidRPr="0024559F">
        <w:t>.</w:t>
      </w:r>
    </w:p>
    <w:p w14:paraId="38FB5A44" w14:textId="67579F99" w:rsidR="00E54533" w:rsidRPr="0024559F" w:rsidRDefault="00E54533" w:rsidP="00460D4A">
      <w:pPr>
        <w:pStyle w:val="headline1"/>
        <w:rPr>
          <w:lang w:val="en-GB"/>
        </w:rPr>
      </w:pPr>
      <w:bookmarkStart w:id="3" w:name="_Toc1253219159"/>
      <w:r w:rsidRPr="68683882">
        <w:rPr>
          <w:lang w:val="en-GB"/>
        </w:rPr>
        <w:t>Background</w:t>
      </w:r>
      <w:bookmarkEnd w:id="3"/>
    </w:p>
    <w:p w14:paraId="63229674" w14:textId="0BA8DF8A" w:rsidR="00AB3B08" w:rsidRPr="0024559F" w:rsidRDefault="00AB3B08" w:rsidP="00AB3B08">
      <w:pPr>
        <w:pStyle w:val="textregular"/>
      </w:pPr>
      <w:r w:rsidRPr="0024559F">
        <w:t>After synchronizatio</w:t>
      </w:r>
      <w:r w:rsidR="00DA46A8" w:rsidRPr="0024559F">
        <w:t>n</w:t>
      </w:r>
      <w:r w:rsidRPr="0024559F">
        <w:t xml:space="preserve"> with CESA, </w:t>
      </w:r>
      <w:r w:rsidR="084D5979" w:rsidRPr="0024559F">
        <w:t>t</w:t>
      </w:r>
      <w:r w:rsidRPr="0024559F">
        <w:t>he three Baltic bidding zones collectively form the Baltic LFC block</w:t>
      </w:r>
      <w:r w:rsidR="003736D6" w:rsidRPr="0024559F">
        <w:t xml:space="preserve"> in </w:t>
      </w:r>
      <w:r w:rsidR="00FE44AE" w:rsidRPr="0024559F">
        <w:t>2025 Q4</w:t>
      </w:r>
      <w:r w:rsidRPr="0024559F">
        <w:t xml:space="preserve">. From the </w:t>
      </w:r>
      <w:r w:rsidR="00DA46A8" w:rsidRPr="0024559F">
        <w:t>e</w:t>
      </w:r>
      <w:r w:rsidRPr="0024559F">
        <w:t>stablishment of the Baltic LFC Block, a balancing capacity procurement process is cru</w:t>
      </w:r>
      <w:r w:rsidR="00DA46A8" w:rsidRPr="0024559F">
        <w:t>c</w:t>
      </w:r>
      <w:r w:rsidRPr="0024559F">
        <w:t xml:space="preserve">ial in order to </w:t>
      </w:r>
      <w:r w:rsidR="00E34134" w:rsidRPr="0024559F">
        <w:t xml:space="preserve">ensure sufficient </w:t>
      </w:r>
      <w:proofErr w:type="gramStart"/>
      <w:r w:rsidR="00E34134" w:rsidRPr="0024559F">
        <w:t>amount</w:t>
      </w:r>
      <w:proofErr w:type="gramEnd"/>
      <w:r w:rsidR="00E34134" w:rsidRPr="0024559F">
        <w:t xml:space="preserve"> of reserves that shall be used to </w:t>
      </w:r>
      <w:r w:rsidRPr="0024559F">
        <w:t xml:space="preserve">balance the system. However, the Baltic TSOs foresee establishing the common Baltic balancing capacity market even before the </w:t>
      </w:r>
      <w:r w:rsidR="4FAEC227" w:rsidRPr="0024559F">
        <w:t>operation</w:t>
      </w:r>
      <w:r w:rsidRPr="0024559F">
        <w:t xml:space="preserve"> of the Baltic LFC block </w:t>
      </w:r>
      <w:proofErr w:type="gramStart"/>
      <w:r w:rsidRPr="0024559F">
        <w:t>in order to</w:t>
      </w:r>
      <w:proofErr w:type="gramEnd"/>
      <w:r w:rsidRPr="0024559F">
        <w:t xml:space="preserve"> prepare for synchronization and better balance the Baltic power systems even before disconnecting from the Russian/Belarussian power system. </w:t>
      </w:r>
    </w:p>
    <w:p w14:paraId="40F2D0D5" w14:textId="2E38BE22" w:rsidR="00AB3B08" w:rsidRPr="0024559F" w:rsidRDefault="00AB3B08" w:rsidP="00AB3B08">
      <w:pPr>
        <w:pStyle w:val="textregular"/>
      </w:pPr>
      <w:r>
        <w:t xml:space="preserve">The Baltic TSOs foresee organizing a joint FRR dimensioning process, which will result in FRR required volumes per LFC area (equal to a bidding zone) and </w:t>
      </w:r>
      <w:r w:rsidR="665C6853">
        <w:t>the</w:t>
      </w:r>
      <w:r>
        <w:t xml:space="preserve"> LFC block. The outputs of the common dimensioning process shall be used as inputs to the balancing capacity procurement algorithm. The dimensioning process and its output </w:t>
      </w:r>
      <w:r w:rsidR="5DD50A0C">
        <w:t>are</w:t>
      </w:r>
      <w:r>
        <w:t xml:space="preserve"> heavily driven by the Baltic external HVDC connections, which, due to their size, serve as the reference incidents for Estonia and Lithuania.</w:t>
      </w:r>
    </w:p>
    <w:p w14:paraId="3E425C69" w14:textId="64064958" w:rsidR="00AB3B08" w:rsidRPr="0024559F" w:rsidRDefault="00AB3B08" w:rsidP="00AB3B08">
      <w:pPr>
        <w:pStyle w:val="textregular"/>
      </w:pPr>
      <w:r w:rsidRPr="0024559F">
        <w:t xml:space="preserve">The Baltic TSOs have conducted a market test to evaluate the </w:t>
      </w:r>
      <w:proofErr w:type="gramStart"/>
      <w:r w:rsidRPr="0024559F">
        <w:t>amount</w:t>
      </w:r>
      <w:proofErr w:type="gramEnd"/>
      <w:r w:rsidRPr="0024559F">
        <w:t xml:space="preserve"> of resources available which would be able to provide FCR and FRR products and concluded that the supply of FRR capacity in each country is relatively low compared to the identified reference incidents (650 MW in Estonia, 700 MW in Lithuania). Therefore</w:t>
      </w:r>
      <w:r w:rsidR="00BE05A2" w:rsidRPr="0024559F">
        <w:t>,</w:t>
      </w:r>
      <w:r w:rsidRPr="0024559F">
        <w:t xml:space="preserve"> in the Proposal, in addition to exchange of balancing capacity, a heavy emphasis is put on sharing of reserves, </w:t>
      </w:r>
      <w:proofErr w:type="gramStart"/>
      <w:r w:rsidRPr="0024559F">
        <w:t>in order to</w:t>
      </w:r>
      <w:proofErr w:type="gramEnd"/>
      <w:r w:rsidRPr="0024559F">
        <w:t xml:space="preserve"> deliver sufficient amount of FRR capacity to all Baltic BZs. It is agreed between the Baltic TSOs that due to the </w:t>
      </w:r>
      <w:r w:rsidR="00BE05A2" w:rsidRPr="0024559F">
        <w:t>imbalance</w:t>
      </w:r>
      <w:r w:rsidRPr="0024559F">
        <w:t xml:space="preserve"> between balancing capacity </w:t>
      </w:r>
      <w:r w:rsidR="00BE05A2" w:rsidRPr="0024559F">
        <w:t>available in a particular Baltic BZ,</w:t>
      </w:r>
      <w:r w:rsidRPr="0024559F">
        <w:t xml:space="preserve"> and the FRR </w:t>
      </w:r>
      <w:r w:rsidR="00D86F5A" w:rsidRPr="0024559F">
        <w:t xml:space="preserve">reserve </w:t>
      </w:r>
      <w:r w:rsidR="00BE05A2" w:rsidRPr="0024559F">
        <w:t>requirement for that respective BZ</w:t>
      </w:r>
      <w:r w:rsidRPr="0024559F">
        <w:t xml:space="preserve">, all balancing capacity which is procured between the Baltic countries can be considered as shared. This means that a single balancing capacity resource </w:t>
      </w:r>
      <w:proofErr w:type="gramStart"/>
      <w:r w:rsidRPr="0024559F">
        <w:t>is able to</w:t>
      </w:r>
      <w:proofErr w:type="gramEnd"/>
      <w:r w:rsidRPr="0024559F">
        <w:t xml:space="preserve"> contribute to fulfilling the reserve requirements of all three Baltic bidding zones with the same asset. However, also exchange is foreseen due to unequal balancing reserve </w:t>
      </w:r>
      <w:r w:rsidR="00DA46A8" w:rsidRPr="0024559F">
        <w:t>requirements</w:t>
      </w:r>
      <w:r w:rsidRPr="0024559F">
        <w:t xml:space="preserve"> in the Baltic BZs.</w:t>
      </w:r>
    </w:p>
    <w:p w14:paraId="6038A00A" w14:textId="3DA02ED8" w:rsidR="007144AE" w:rsidRPr="0024559F" w:rsidRDefault="007144AE" w:rsidP="007144AE">
      <w:pPr>
        <w:pStyle w:val="headline1"/>
        <w:rPr>
          <w:lang w:val="en-GB"/>
        </w:rPr>
      </w:pPr>
      <w:bookmarkStart w:id="4" w:name="_Toc2131951296"/>
      <w:r w:rsidRPr="68683882">
        <w:rPr>
          <w:lang w:val="en-GB"/>
        </w:rPr>
        <w:t>Exchange of balancing capacity and sharing of reserves</w:t>
      </w:r>
      <w:bookmarkEnd w:id="4"/>
    </w:p>
    <w:p w14:paraId="5BDD850B" w14:textId="3D871138" w:rsidR="00B16D87" w:rsidRPr="0024559F" w:rsidRDefault="78FDB924" w:rsidP="00B12DCB">
      <w:pPr>
        <w:jc w:val="both"/>
      </w:pPr>
      <w:r w:rsidRPr="0024559F">
        <w:t xml:space="preserve">According to </w:t>
      </w:r>
      <w:r w:rsidR="2AF74E59" w:rsidRPr="0024559F">
        <w:t xml:space="preserve">EBGL, two kinds of interactions regarding balancing capacity are possible across bidding zone borders. These interactions are exchange of balancing capacity and sharing of reserves, which are both defined in the </w:t>
      </w:r>
      <w:r w:rsidR="00656A57" w:rsidRPr="0024559F">
        <w:t>Commission Regulation (EU) 2017/1485 of 2 August 2017 establishing a guideline on electricity transmission system operation,</w:t>
      </w:r>
      <w:r w:rsidR="1AFB539A" w:rsidRPr="0024559F">
        <w:t xml:space="preserve"> Article 3(2)</w:t>
      </w:r>
      <w:r w:rsidR="2AF74E59" w:rsidRPr="0024559F">
        <w:t>.</w:t>
      </w:r>
      <w:r w:rsidR="09F2D323" w:rsidRPr="0024559F">
        <w:t xml:space="preserve"> </w:t>
      </w:r>
      <w:proofErr w:type="gramStart"/>
      <w:r w:rsidR="09F2D323" w:rsidRPr="0024559F">
        <w:t>Both of these</w:t>
      </w:r>
      <w:proofErr w:type="gramEnd"/>
      <w:r w:rsidR="09F2D323" w:rsidRPr="0024559F">
        <w:t xml:space="preserve"> allow the usage of cross-border cooperation in order to increase economic </w:t>
      </w:r>
      <w:r w:rsidR="00F75299" w:rsidRPr="0024559F">
        <w:t>surplus but</w:t>
      </w:r>
      <w:r w:rsidR="09F2D323" w:rsidRPr="0024559F">
        <w:t xml:space="preserve"> differ in how </w:t>
      </w:r>
      <w:r w:rsidR="67041895" w:rsidRPr="0024559F">
        <w:t>TSOs reserve requirements is satisfied.</w:t>
      </w:r>
    </w:p>
    <w:p w14:paraId="5FF608B3" w14:textId="62BEAFDE" w:rsidR="007144AE" w:rsidRPr="0024559F" w:rsidRDefault="007144AE" w:rsidP="00B12DCB">
      <w:pPr>
        <w:jc w:val="both"/>
      </w:pPr>
      <w:r>
        <w:lastRenderedPageBreak/>
        <w:t>Exchange of balancing capacity resembles in its functions the day-ahead market, in which a given</w:t>
      </w:r>
      <w:r w:rsidR="00AB36C9">
        <w:t xml:space="preserve"> sum of all TSO</w:t>
      </w:r>
      <w:r>
        <w:t xml:space="preserve"> reserve requirement</w:t>
      </w:r>
      <w:r w:rsidR="00AB36C9">
        <w:t>s</w:t>
      </w:r>
      <w:r>
        <w:t xml:space="preserve"> </w:t>
      </w:r>
      <w:r w:rsidR="009A3488">
        <w:t>is</w:t>
      </w:r>
      <w:r>
        <w:t xml:space="preserve"> </w:t>
      </w:r>
      <w:r w:rsidR="00AB36C9">
        <w:t>fulfilled</w:t>
      </w:r>
      <w:r>
        <w:t xml:space="preserve"> by choosing </w:t>
      </w:r>
      <w:proofErr w:type="gramStart"/>
      <w:r w:rsidR="00AB36C9">
        <w:t xml:space="preserve">a </w:t>
      </w:r>
      <w:r>
        <w:t>number of</w:t>
      </w:r>
      <w:proofErr w:type="gramEnd"/>
      <w:r>
        <w:t xml:space="preserve"> BSP bids</w:t>
      </w:r>
      <w:r w:rsidR="00AB36C9">
        <w:t xml:space="preserve"> with the same total capacity</w:t>
      </w:r>
      <w:r>
        <w:t xml:space="preserve">, taking into account the geographical limitations and considerations of welfare maximization. In an arrangement where only the </w:t>
      </w:r>
      <w:r w:rsidR="4EE08E85">
        <w:t>e</w:t>
      </w:r>
      <w:r>
        <w:t xml:space="preserve">xchange of balancing capacity is possible, the total amount of procured balancing capacity is </w:t>
      </w:r>
      <w:r w:rsidR="002C1671">
        <w:t>equal or greater</w:t>
      </w:r>
      <w:r>
        <w:t xml:space="preserve"> to the sum of all TSO reserve requirements.</w:t>
      </w:r>
    </w:p>
    <w:p w14:paraId="4FCC358A" w14:textId="4978E034" w:rsidR="68683882" w:rsidRDefault="68683882" w:rsidP="68683882">
      <w:pPr>
        <w:jc w:val="both"/>
      </w:pPr>
    </w:p>
    <w:p w14:paraId="7CB8AB0B" w14:textId="77777777" w:rsidR="007144AE" w:rsidRPr="0024559F" w:rsidRDefault="007144AE" w:rsidP="00B12DCB">
      <w:pPr>
        <w:jc w:val="both"/>
      </w:pPr>
      <w:r>
        <w:t>However, when sharing of reserves is allowed, this may not apply any more. In case an application allows for sharing of reserves to take place between TSOs, one megawatt of BSP supplied balancing capacity service can contribute to fulfilling to the demand of several TSOs. Thus, the establishment of a balancing capacity cooperation where sharing of reserves is allowed between TSOs, the gained benefit comes from several significant aspects: more efficient use of power system assets and optimized procurement of balancing capacity.</w:t>
      </w:r>
    </w:p>
    <w:p w14:paraId="0D78FD73" w14:textId="4EB8AF55" w:rsidR="68683882" w:rsidRDefault="68683882" w:rsidP="68683882">
      <w:pPr>
        <w:jc w:val="both"/>
      </w:pPr>
    </w:p>
    <w:p w14:paraId="371C38A7" w14:textId="18457BB1" w:rsidR="00F02963" w:rsidRPr="0024559F" w:rsidRDefault="007144AE" w:rsidP="00B12DCB">
      <w:pPr>
        <w:jc w:val="both"/>
      </w:pPr>
      <w:r w:rsidRPr="0024559F">
        <w:t xml:space="preserve">A simple illustration highlighting the key differences between the exchange of balancing capacity and sharing of reserves is highlighted </w:t>
      </w:r>
      <w:r w:rsidR="00F02963" w:rsidRPr="0024559F">
        <w:t>in the image below, where TSO reserve requirements is satisfied only with exchange of balancing capacity</w:t>
      </w:r>
      <w:r w:rsidR="00612161" w:rsidRPr="0024559F">
        <w:t xml:space="preserve"> in the case depicted in the top </w:t>
      </w:r>
      <w:proofErr w:type="gramStart"/>
      <w:r w:rsidR="00612161" w:rsidRPr="0024559F">
        <w:t>part, and</w:t>
      </w:r>
      <w:proofErr w:type="gramEnd"/>
      <w:r w:rsidR="00612161" w:rsidRPr="0024559F">
        <w:t xml:space="preserve"> satisfied via sharing of reserves in the bottom part.</w:t>
      </w:r>
    </w:p>
    <w:p w14:paraId="354527A6" w14:textId="2FFDE9E1" w:rsidR="00F02963" w:rsidRPr="0024559F" w:rsidRDefault="008E4D85" w:rsidP="00F02963">
      <w:pPr>
        <w:jc w:val="center"/>
      </w:pPr>
      <w:r w:rsidRPr="0024559F">
        <w:rPr>
          <w:noProof/>
        </w:rPr>
        <w:drawing>
          <wp:inline distT="0" distB="0" distL="0" distR="0" wp14:anchorId="1AEE0AE7" wp14:editId="026708CF">
            <wp:extent cx="3982923" cy="1906567"/>
            <wp:effectExtent l="0" t="0" r="0" b="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3982923" cy="1906567"/>
                    </a:xfrm>
                    <a:prstGeom prst="rect">
                      <a:avLst/>
                    </a:prstGeom>
                  </pic:spPr>
                </pic:pic>
              </a:graphicData>
            </a:graphic>
          </wp:inline>
        </w:drawing>
      </w:r>
    </w:p>
    <w:p w14:paraId="71B5C4F6" w14:textId="7FD484FB" w:rsidR="007144AE" w:rsidRPr="0024559F" w:rsidRDefault="541A1ED2" w:rsidP="005D3CDD">
      <w:pPr>
        <w:jc w:val="both"/>
      </w:pPr>
      <w:r>
        <w:t>It can be observed that in the cas</w:t>
      </w:r>
      <w:r w:rsidR="7B46F50B">
        <w:t xml:space="preserve">e where sharing of reserves is allowed, a significantly smaller amount of </w:t>
      </w:r>
      <w:r w:rsidR="5A884DF7">
        <w:t xml:space="preserve">BSP resources </w:t>
      </w:r>
      <w:r w:rsidR="53D052BA">
        <w:t>is</w:t>
      </w:r>
      <w:r w:rsidR="5A884DF7">
        <w:t xml:space="preserve"> used to satisfy reserve requirement. However, as a downside</w:t>
      </w:r>
      <w:r w:rsidR="6561D035">
        <w:t>, CZC needs to be allocated in both directions at once. T</w:t>
      </w:r>
      <w:r w:rsidR="5A66A81F">
        <w:t xml:space="preserve">he above </w:t>
      </w:r>
      <w:r w:rsidR="0E6ADBFC">
        <w:t>means the balancing capacity market rules designed to accommodate only exchange of balancing capacity are usually not adequat</w:t>
      </w:r>
      <w:r w:rsidR="5A66A81F">
        <w:t>ely detailed for the case when also sharing of reserves is allowed.</w:t>
      </w:r>
    </w:p>
    <w:p w14:paraId="5EA8443D" w14:textId="09059F51" w:rsidR="68683882" w:rsidRDefault="68683882" w:rsidP="68683882">
      <w:pPr>
        <w:jc w:val="both"/>
      </w:pPr>
    </w:p>
    <w:p w14:paraId="65520FB2" w14:textId="0BA309F1" w:rsidR="007144AE" w:rsidRPr="0024559F" w:rsidRDefault="00B12DCB" w:rsidP="00B12DCB">
      <w:pPr>
        <w:jc w:val="both"/>
      </w:pPr>
      <w:r w:rsidRPr="0024559F">
        <w:t xml:space="preserve">As of beginning of 2023, the major established cross-border balancing capacity procuring applications (such as CORE and Nordic CCRs) focus on </w:t>
      </w:r>
      <w:r w:rsidR="46811B2A" w:rsidRPr="0024559F">
        <w:t>the e</w:t>
      </w:r>
      <w:r w:rsidRPr="0024559F">
        <w:t>xchange of balancing capacity.</w:t>
      </w:r>
      <w:r w:rsidR="0076028E" w:rsidRPr="0024559F">
        <w:t xml:space="preserve"> </w:t>
      </w:r>
      <w:r w:rsidR="007144AE" w:rsidRPr="0024559F">
        <w:t xml:space="preserve">The Baltic TSOs have </w:t>
      </w:r>
      <w:r w:rsidR="003B1580" w:rsidRPr="0024559F">
        <w:t>analysed</w:t>
      </w:r>
      <w:r w:rsidR="007144AE" w:rsidRPr="0024559F">
        <w:t xml:space="preserve"> the situation of supply and demand in the Baltic region </w:t>
      </w:r>
      <w:r w:rsidR="00AA66E9" w:rsidRPr="0024559F">
        <w:t>in a balancing capacity market test</w:t>
      </w:r>
      <w:r w:rsidR="00AA66E9" w:rsidRPr="0024559F">
        <w:rPr>
          <w:rStyle w:val="FootnoteReference"/>
        </w:rPr>
        <w:footnoteReference w:id="2"/>
      </w:r>
      <w:r w:rsidR="00AA66E9" w:rsidRPr="0024559F">
        <w:t xml:space="preserve"> </w:t>
      </w:r>
      <w:r w:rsidR="007144AE" w:rsidRPr="0024559F">
        <w:t xml:space="preserve">and determined that it imperative from the security of supply and the economic standpoint; to </w:t>
      </w:r>
      <w:r w:rsidR="0076028E" w:rsidRPr="0024559F">
        <w:t>allow and enable the</w:t>
      </w:r>
      <w:r w:rsidR="007144AE" w:rsidRPr="0024559F">
        <w:t xml:space="preserve"> sharing of reserves in the Baltic region. The specific reasons are as follows:</w:t>
      </w:r>
    </w:p>
    <w:p w14:paraId="18310319" w14:textId="0A70C4BB" w:rsidR="007144AE" w:rsidRPr="0024559F" w:rsidRDefault="00D1055F" w:rsidP="00B12DCB">
      <w:pPr>
        <w:pStyle w:val="ListParagraph"/>
        <w:numPr>
          <w:ilvl w:val="0"/>
          <w:numId w:val="15"/>
        </w:numPr>
        <w:rPr>
          <w:lang w:val="en-GB"/>
        </w:rPr>
      </w:pPr>
      <w:r>
        <w:rPr>
          <w:lang w:val="en-GB"/>
        </w:rPr>
        <w:t>t</w:t>
      </w:r>
      <w:r w:rsidR="007144AE" w:rsidRPr="0024559F">
        <w:rPr>
          <w:lang w:val="en-GB"/>
        </w:rPr>
        <w:t>he avail</w:t>
      </w:r>
      <w:r w:rsidR="003B1580" w:rsidRPr="0024559F">
        <w:rPr>
          <w:lang w:val="en-GB"/>
        </w:rPr>
        <w:t>able capacity</w:t>
      </w:r>
      <w:r w:rsidR="007144AE" w:rsidRPr="0024559F">
        <w:rPr>
          <w:lang w:val="en-GB"/>
        </w:rPr>
        <w:t xml:space="preserve"> of balancing capacity service provides is relatively small, due to the small</w:t>
      </w:r>
      <w:r w:rsidR="003B1580" w:rsidRPr="0024559F">
        <w:rPr>
          <w:lang w:val="en-GB"/>
        </w:rPr>
        <w:t xml:space="preserve"> size</w:t>
      </w:r>
      <w:r w:rsidR="007144AE" w:rsidRPr="0024559F">
        <w:rPr>
          <w:lang w:val="en-GB"/>
        </w:rPr>
        <w:t xml:space="preserve"> of the power </w:t>
      </w:r>
      <w:proofErr w:type="gramStart"/>
      <w:r w:rsidR="007144AE" w:rsidRPr="0024559F">
        <w:rPr>
          <w:lang w:val="en-GB"/>
        </w:rPr>
        <w:t>systems;</w:t>
      </w:r>
      <w:proofErr w:type="gramEnd"/>
    </w:p>
    <w:p w14:paraId="2B508AFC" w14:textId="2337E1A6" w:rsidR="007144AE" w:rsidRPr="0024559F" w:rsidRDefault="00D1055F" w:rsidP="00B12DCB">
      <w:pPr>
        <w:pStyle w:val="ListParagraph"/>
        <w:numPr>
          <w:ilvl w:val="0"/>
          <w:numId w:val="15"/>
        </w:numPr>
        <w:rPr>
          <w:lang w:val="en-GB"/>
        </w:rPr>
      </w:pPr>
      <w:r>
        <w:rPr>
          <w:lang w:val="en-GB"/>
        </w:rPr>
        <w:t>t</w:t>
      </w:r>
      <w:r w:rsidR="007144AE" w:rsidRPr="0024559F">
        <w:rPr>
          <w:lang w:val="en-GB"/>
        </w:rPr>
        <w:t xml:space="preserve">he reserve requirements are relatively high, deriving from the significant reference incidents caused by external HVDC </w:t>
      </w:r>
      <w:proofErr w:type="gramStart"/>
      <w:r w:rsidR="007144AE" w:rsidRPr="0024559F">
        <w:rPr>
          <w:lang w:val="en-GB"/>
        </w:rPr>
        <w:t>links;</w:t>
      </w:r>
      <w:proofErr w:type="gramEnd"/>
    </w:p>
    <w:p w14:paraId="4BF0A22A" w14:textId="31D85B1F" w:rsidR="007144AE" w:rsidRPr="0024559F" w:rsidRDefault="00D1055F" w:rsidP="00B12DCB">
      <w:pPr>
        <w:pStyle w:val="ListParagraph"/>
        <w:numPr>
          <w:ilvl w:val="0"/>
          <w:numId w:val="15"/>
        </w:numPr>
        <w:rPr>
          <w:lang w:val="en-GB"/>
        </w:rPr>
      </w:pPr>
      <w:r>
        <w:rPr>
          <w:lang w:val="en-GB"/>
        </w:rPr>
        <w:t>t</w:t>
      </w:r>
      <w:r w:rsidR="5E66E377" w:rsidRPr="0024559F">
        <w:rPr>
          <w:lang w:val="en-GB"/>
        </w:rPr>
        <w:t xml:space="preserve">he sharing of reserve schemes </w:t>
      </w:r>
      <w:r w:rsidR="06CC2004" w:rsidRPr="0024559F">
        <w:rPr>
          <w:lang w:val="en-GB"/>
        </w:rPr>
        <w:t>brings</w:t>
      </w:r>
      <w:r w:rsidR="5E66E377" w:rsidRPr="0024559F">
        <w:rPr>
          <w:lang w:val="en-GB"/>
        </w:rPr>
        <w:t xml:space="preserve"> a significant benefit to the consumers, </w:t>
      </w:r>
      <w:r w:rsidR="78E91043" w:rsidRPr="0024559F">
        <w:rPr>
          <w:lang w:val="en-GB"/>
        </w:rPr>
        <w:t>which is amplified in the unique Baltic environment, where</w:t>
      </w:r>
      <w:r w:rsidR="5E66E377" w:rsidRPr="0024559F">
        <w:rPr>
          <w:lang w:val="en-GB"/>
        </w:rPr>
        <w:t xml:space="preserve"> a high reserve requirement must ultimately be supported by a relatively small consumption-base.</w:t>
      </w:r>
    </w:p>
    <w:p w14:paraId="4531E0D2" w14:textId="2FA63472" w:rsidR="007144AE" w:rsidRPr="0024559F" w:rsidRDefault="007144AE" w:rsidP="00D137B9">
      <w:pPr>
        <w:jc w:val="both"/>
      </w:pPr>
      <w:r w:rsidRPr="0024559F">
        <w:t>Taking the above into account, the Baltic TSOs foresee that sharing of reserves shall be the main purpose of allocating cross-zonal capacity.</w:t>
      </w:r>
      <w:r w:rsidR="00656FE1" w:rsidRPr="0024559F">
        <w:t xml:space="preserve"> This will allow </w:t>
      </w:r>
      <w:r w:rsidR="00314CC1" w:rsidRPr="0024559F">
        <w:t xml:space="preserve">to ensure the Baltic countries to adequately ensure security of supply with a total of just </w:t>
      </w:r>
      <w:r w:rsidR="0048623A" w:rsidRPr="0024559F">
        <w:t xml:space="preserve">about 800 MW of FRR up and 700 MW FRR down, while the sum of the three </w:t>
      </w:r>
      <w:r w:rsidR="0048623A" w:rsidRPr="0024559F">
        <w:lastRenderedPageBreak/>
        <w:t>Baltic TSO’s demand is more than twice as much.</w:t>
      </w:r>
      <w:r w:rsidRPr="0024559F">
        <w:t xml:space="preserve"> </w:t>
      </w:r>
      <w:proofErr w:type="gramStart"/>
      <w:r w:rsidRPr="0024559F">
        <w:t>In reality, there</w:t>
      </w:r>
      <w:proofErr w:type="gramEnd"/>
      <w:r w:rsidRPr="0024559F">
        <w:t xml:space="preserve"> will be instances in the market where one can also observe exchange of balancing capacity</w:t>
      </w:r>
      <w:r w:rsidR="00A678B8" w:rsidRPr="0024559F">
        <w:t>, due to unequal reserve requirements in the Baltic bidding zones.</w:t>
      </w:r>
      <w:r w:rsidR="00D137B9" w:rsidRPr="0024559F">
        <w:t xml:space="preserve"> </w:t>
      </w:r>
    </w:p>
    <w:p w14:paraId="5B88373E" w14:textId="6D9AF523" w:rsidR="00370583" w:rsidRPr="0024559F" w:rsidRDefault="40175572" w:rsidP="00370583">
      <w:pPr>
        <w:pStyle w:val="headline1"/>
        <w:rPr>
          <w:lang w:val="en-GB"/>
        </w:rPr>
      </w:pPr>
      <w:bookmarkStart w:id="5" w:name="_Toc1517643202"/>
      <w:r w:rsidRPr="68683882">
        <w:rPr>
          <w:lang w:val="en-GB"/>
        </w:rPr>
        <w:t>Dimensioning</w:t>
      </w:r>
      <w:bookmarkEnd w:id="5"/>
    </w:p>
    <w:p w14:paraId="58F85F41" w14:textId="0BCFF2F6" w:rsidR="002843B9" w:rsidRPr="0024559F" w:rsidRDefault="002843B9" w:rsidP="002843B9">
      <w:pPr>
        <w:pStyle w:val="textregular"/>
      </w:pPr>
      <w:r w:rsidRPr="0024559F">
        <w:t xml:space="preserve">The Baltic TSOs apply a dimensioning process which relies on both stochastic and deterministic analysis. Main contributors to the stochastic analysis shall be variations in load and intermittent generation outputs and to the deterministic analysis the reference incidents. For reference incidents the Baltic external HVDC links play the most important role. </w:t>
      </w:r>
    </w:p>
    <w:p w14:paraId="79EBA44F" w14:textId="548BA72E" w:rsidR="002843B9" w:rsidRPr="0024559F" w:rsidRDefault="002843B9" w:rsidP="002843B9">
      <w:pPr>
        <w:pStyle w:val="textregular"/>
      </w:pPr>
      <w:r w:rsidRPr="0024559F">
        <w:t xml:space="preserve">The FCR dimensioning is </w:t>
      </w:r>
      <w:r w:rsidR="1A4AD725" w:rsidRPr="0024559F">
        <w:t>performed and provided for the whole Continental Europe synchronous area by CESA System Frequency working-group</w:t>
      </w:r>
      <w:r w:rsidR="00DA1B52" w:rsidRPr="0024559F">
        <w:t xml:space="preserve"> after the Baltic power systems are synchronized with CESA</w:t>
      </w:r>
      <w:r w:rsidR="1A4AD725" w:rsidRPr="0024559F">
        <w:t>.</w:t>
      </w:r>
      <w:r w:rsidR="448B2995" w:rsidRPr="0024559F">
        <w:t xml:space="preserve"> Baltic LFC areas </w:t>
      </w:r>
      <w:r w:rsidR="0BCFD904" w:rsidRPr="0024559F">
        <w:t>receive the FCR capacities from the same process.</w:t>
      </w:r>
      <w:r w:rsidRPr="0024559F" w:rsidDel="002843B9">
        <w:t xml:space="preserve"> </w:t>
      </w:r>
      <w:r w:rsidR="56DF5132" w:rsidRPr="0024559F">
        <w:t>Estimated FCR capacities for Baltic LFC areas is provided in the Baltic LFC concept document</w:t>
      </w:r>
      <w:r w:rsidRPr="0024559F">
        <w:rPr>
          <w:rStyle w:val="FootnoteReference"/>
        </w:rPr>
        <w:footnoteReference w:id="3"/>
      </w:r>
      <w:r w:rsidR="56DF5132" w:rsidRPr="0024559F">
        <w:t>.</w:t>
      </w:r>
    </w:p>
    <w:tbl>
      <w:tblPr>
        <w:tblStyle w:val="TableGrid"/>
        <w:tblW w:w="0" w:type="auto"/>
        <w:tblLook w:val="04A0" w:firstRow="1" w:lastRow="0" w:firstColumn="1" w:lastColumn="0" w:noHBand="0" w:noVBand="1"/>
      </w:tblPr>
      <w:tblGrid>
        <w:gridCol w:w="1696"/>
        <w:gridCol w:w="3969"/>
        <w:gridCol w:w="3849"/>
      </w:tblGrid>
      <w:tr w:rsidR="00647E7A" w:rsidRPr="0024559F" w14:paraId="3ABEFDCB" w14:textId="77777777" w:rsidTr="0060017C">
        <w:tc>
          <w:tcPr>
            <w:tcW w:w="1696" w:type="dxa"/>
          </w:tcPr>
          <w:p w14:paraId="6BD4B707" w14:textId="77777777" w:rsidR="00647E7A" w:rsidRPr="0024559F" w:rsidRDefault="00647E7A">
            <w:pPr>
              <w:pStyle w:val="textregular"/>
            </w:pPr>
          </w:p>
        </w:tc>
        <w:tc>
          <w:tcPr>
            <w:tcW w:w="3969" w:type="dxa"/>
          </w:tcPr>
          <w:p w14:paraId="5A7E73D0" w14:textId="2682A413" w:rsidR="00647E7A" w:rsidRPr="0024559F" w:rsidRDefault="00D71FF6">
            <w:pPr>
              <w:pStyle w:val="textregular"/>
            </w:pPr>
            <w:r w:rsidRPr="0024559F">
              <w:t>Pre-synchronization model</w:t>
            </w:r>
          </w:p>
        </w:tc>
        <w:tc>
          <w:tcPr>
            <w:tcW w:w="3849" w:type="dxa"/>
          </w:tcPr>
          <w:p w14:paraId="402DDE89" w14:textId="31F53226" w:rsidR="00647E7A" w:rsidRPr="0024559F" w:rsidRDefault="00D71FF6">
            <w:pPr>
              <w:pStyle w:val="textregular"/>
            </w:pPr>
            <w:r w:rsidRPr="0024559F">
              <w:t>Post-synchronization model (LFC Block operation)</w:t>
            </w:r>
          </w:p>
        </w:tc>
      </w:tr>
      <w:tr w:rsidR="00647E7A" w:rsidRPr="0024559F" w14:paraId="6F8B13B7" w14:textId="77777777" w:rsidTr="0060017C">
        <w:tc>
          <w:tcPr>
            <w:tcW w:w="1696" w:type="dxa"/>
          </w:tcPr>
          <w:p w14:paraId="4C1B2E49" w14:textId="77777777" w:rsidR="00647E7A" w:rsidRPr="0024559F" w:rsidRDefault="00647E7A">
            <w:pPr>
              <w:pStyle w:val="textregular"/>
            </w:pPr>
            <w:r w:rsidRPr="0024559F">
              <w:t>FCR</w:t>
            </w:r>
          </w:p>
        </w:tc>
        <w:tc>
          <w:tcPr>
            <w:tcW w:w="3969" w:type="dxa"/>
          </w:tcPr>
          <w:p w14:paraId="49CB82AE" w14:textId="77777777" w:rsidR="00647E7A" w:rsidRPr="0024559F" w:rsidRDefault="00647E7A">
            <w:pPr>
              <w:pStyle w:val="textregular"/>
            </w:pPr>
            <w:r w:rsidRPr="0024559F">
              <w:t>Not used</w:t>
            </w:r>
          </w:p>
        </w:tc>
        <w:tc>
          <w:tcPr>
            <w:tcW w:w="3849" w:type="dxa"/>
          </w:tcPr>
          <w:p w14:paraId="1F613716" w14:textId="115A50F3" w:rsidR="00647E7A" w:rsidRPr="0024559F" w:rsidRDefault="00647E7A">
            <w:pPr>
              <w:pStyle w:val="textregular"/>
            </w:pPr>
            <w:r w:rsidRPr="0024559F">
              <w:t>Common</w:t>
            </w:r>
            <w:r w:rsidR="00D71FF6" w:rsidRPr="0024559F">
              <w:t xml:space="preserve"> CESA</w:t>
            </w:r>
            <w:r w:rsidRPr="0024559F">
              <w:t xml:space="preserve"> methodology</w:t>
            </w:r>
          </w:p>
        </w:tc>
      </w:tr>
      <w:tr w:rsidR="00647E7A" w:rsidRPr="0024559F" w14:paraId="7FF25425" w14:textId="77777777" w:rsidTr="0060017C">
        <w:tc>
          <w:tcPr>
            <w:tcW w:w="1696" w:type="dxa"/>
          </w:tcPr>
          <w:p w14:paraId="458053AF" w14:textId="77777777" w:rsidR="00647E7A" w:rsidRPr="0024559F" w:rsidRDefault="00647E7A">
            <w:pPr>
              <w:pStyle w:val="textregular"/>
            </w:pPr>
            <w:r w:rsidRPr="0024559F">
              <w:t>FRR</w:t>
            </w:r>
          </w:p>
        </w:tc>
        <w:tc>
          <w:tcPr>
            <w:tcW w:w="7818" w:type="dxa"/>
            <w:gridSpan w:val="2"/>
          </w:tcPr>
          <w:p w14:paraId="67173252" w14:textId="3F2DFD61" w:rsidR="00647E7A" w:rsidRPr="0024559F" w:rsidRDefault="00647E7A">
            <w:pPr>
              <w:pStyle w:val="textregular"/>
            </w:pPr>
            <w:r w:rsidRPr="0024559F">
              <w:t xml:space="preserve">FRR dimensioning </w:t>
            </w:r>
            <w:r w:rsidR="000D2F5E" w:rsidRPr="0024559F">
              <w:t>is</w:t>
            </w:r>
            <w:r w:rsidRPr="0024559F">
              <w:t xml:space="preserve"> the </w:t>
            </w:r>
            <w:r w:rsidR="000D2F5E" w:rsidRPr="0024559F">
              <w:t xml:space="preserve">task on the </w:t>
            </w:r>
            <w:r w:rsidRPr="0024559F">
              <w:t>Baltic TSOs</w:t>
            </w:r>
            <w:r w:rsidR="000D2F5E" w:rsidRPr="0024559F">
              <w:t>. The Baltic FRR dimensioning output defines</w:t>
            </w:r>
            <w:r w:rsidRPr="0024559F">
              <w:t xml:space="preserve"> the necessary amount of aFRR and </w:t>
            </w:r>
            <w:r w:rsidR="000D2F5E" w:rsidRPr="0024559F">
              <w:t xml:space="preserve">mFRR </w:t>
            </w:r>
            <w:r w:rsidRPr="0024559F">
              <w:t>(aFRR and mFRR combined</w:t>
            </w:r>
            <w:r w:rsidR="000D2F5E" w:rsidRPr="0024559F">
              <w:t xml:space="preserve"> is considered FRR</w:t>
            </w:r>
            <w:r w:rsidRPr="0024559F">
              <w:t xml:space="preserve">) both on the </w:t>
            </w:r>
            <w:r w:rsidR="000D2F5E" w:rsidRPr="0024559F">
              <w:t>bidding zone</w:t>
            </w:r>
            <w:r w:rsidRPr="0024559F">
              <w:t xml:space="preserve"> level as well as requirements for the </w:t>
            </w:r>
            <w:r w:rsidR="000D2F5E" w:rsidRPr="0024559F">
              <w:t xml:space="preserve">three Baltic bidding </w:t>
            </w:r>
            <w:proofErr w:type="gramStart"/>
            <w:r w:rsidR="000D2F5E" w:rsidRPr="0024559F">
              <w:t>zones as a whole</w:t>
            </w:r>
            <w:proofErr w:type="gramEnd"/>
            <w:r w:rsidR="000D2F5E" w:rsidRPr="0024559F">
              <w:t>.</w:t>
            </w:r>
          </w:p>
        </w:tc>
      </w:tr>
    </w:tbl>
    <w:p w14:paraId="3065CBAC" w14:textId="77777777" w:rsidR="00647E7A" w:rsidRPr="0024559F" w:rsidRDefault="00647E7A" w:rsidP="00C64197">
      <w:pPr>
        <w:pStyle w:val="textregular"/>
      </w:pPr>
    </w:p>
    <w:p w14:paraId="0788D2B2" w14:textId="6C5915C6" w:rsidR="00C64197" w:rsidRPr="0024559F" w:rsidRDefault="002843B9" w:rsidP="00C64197">
      <w:pPr>
        <w:jc w:val="both"/>
      </w:pPr>
      <w:r w:rsidRPr="0024559F">
        <w:t>The Baltic TSOs foresee a process which combines both long-</w:t>
      </w:r>
      <w:r w:rsidR="00F64F61" w:rsidRPr="0024559F">
        <w:t>term</w:t>
      </w:r>
      <w:r w:rsidR="65A8167D" w:rsidRPr="0024559F">
        <w:t xml:space="preserve"> and short</w:t>
      </w:r>
      <w:r w:rsidRPr="0024559F">
        <w:t>-term process</w:t>
      </w:r>
      <w:r w:rsidR="48052982" w:rsidRPr="0024559F">
        <w:t>es for FRR dimensioning. Long-term dimensioning</w:t>
      </w:r>
      <w:r w:rsidRPr="0024559F">
        <w:t xml:space="preserve"> </w:t>
      </w:r>
      <w:r w:rsidR="1DB504AB" w:rsidRPr="0024559F">
        <w:t xml:space="preserve">is </w:t>
      </w:r>
      <w:r w:rsidRPr="0024559F">
        <w:t xml:space="preserve">determined </w:t>
      </w:r>
      <w:r w:rsidR="50B68670" w:rsidRPr="0024559F">
        <w:t xml:space="preserve">for </w:t>
      </w:r>
      <w:r w:rsidRPr="0024559F">
        <w:t>a long</w:t>
      </w:r>
      <w:r w:rsidR="00F64F61" w:rsidRPr="0024559F">
        <w:t>-</w:t>
      </w:r>
      <w:r w:rsidRPr="0024559F">
        <w:t>time horizon, such as a year in advance which relies on the fundamental characteristics of the power system. The long</w:t>
      </w:r>
      <w:r w:rsidR="3E3FFB1B" w:rsidRPr="0024559F">
        <w:t>-</w:t>
      </w:r>
      <w:r w:rsidRPr="0024559F">
        <w:t xml:space="preserve">term dimensioning process </w:t>
      </w:r>
      <w:r w:rsidR="06C6A632" w:rsidRPr="0024559F">
        <w:t>shall</w:t>
      </w:r>
      <w:r w:rsidRPr="0024559F">
        <w:t xml:space="preserve"> be </w:t>
      </w:r>
      <w:r w:rsidR="1C328F4C" w:rsidRPr="0024559F">
        <w:t>accompanied</w:t>
      </w:r>
      <w:r w:rsidRPr="0024559F">
        <w:t xml:space="preserve"> by a short-term </w:t>
      </w:r>
      <w:r w:rsidR="41CDDA74" w:rsidRPr="0024559F">
        <w:t>dimensioning</w:t>
      </w:r>
      <w:r w:rsidRPr="0024559F">
        <w:t xml:space="preserve"> </w:t>
      </w:r>
      <w:r w:rsidR="18A99539" w:rsidRPr="0024559F">
        <w:t>process,</w:t>
      </w:r>
      <w:r w:rsidRPr="0024559F">
        <w:t xml:space="preserve"> which </w:t>
      </w:r>
      <w:proofErr w:type="gramStart"/>
      <w:r w:rsidRPr="0024559F">
        <w:t>takes into account</w:t>
      </w:r>
      <w:proofErr w:type="gramEnd"/>
      <w:r w:rsidRPr="0024559F">
        <w:t xml:space="preserve"> the specific </w:t>
      </w:r>
      <w:r w:rsidR="3B67C40D" w:rsidRPr="0024559F">
        <w:t>state</w:t>
      </w:r>
      <w:r w:rsidRPr="0024559F">
        <w:t xml:space="preserve"> of the power system </w:t>
      </w:r>
      <w:r w:rsidR="6E62B1CD" w:rsidRPr="0024559F">
        <w:t>for the FRR dimensioning period</w:t>
      </w:r>
      <w:r w:rsidRPr="0024559F">
        <w:t>, for example</w:t>
      </w:r>
      <w:r w:rsidR="48D3435D" w:rsidRPr="0024559F">
        <w:t>,</w:t>
      </w:r>
      <w:r w:rsidRPr="0024559F">
        <w:t xml:space="preserve"> including specific knowledge on HVDC maintenance and other critical parameters</w:t>
      </w:r>
      <w:r w:rsidR="770FDCD5" w:rsidRPr="0024559F">
        <w:t xml:space="preserve"> such as RES forecast</w:t>
      </w:r>
      <w:r w:rsidRPr="0024559F">
        <w:t xml:space="preserve">. The dimensioned FCR and FRR amounts are indicatively </w:t>
      </w:r>
      <w:r w:rsidR="14D7D264" w:rsidRPr="0024559F">
        <w:t xml:space="preserve">estimated </w:t>
      </w:r>
      <w:r w:rsidRPr="0024559F">
        <w:t>in the Baltic LFC concept document.</w:t>
      </w:r>
      <w:r w:rsidR="00C64197" w:rsidRPr="0024559F">
        <w:t xml:space="preserve"> Baltic TSOs have prepared Baltic LFC block FRR dimensioning forecast for 2024-2031. Estimated amounts of balancing capacity reserves for Baltics as well as shares of responsibility of each bidding zone and estimated amounts of balancing capacity reserves which will be covered by TSO resources (</w:t>
      </w:r>
      <w:proofErr w:type="spellStart"/>
      <w:r w:rsidR="00C64197" w:rsidRPr="0024559F">
        <w:t>Kiisa</w:t>
      </w:r>
      <w:proofErr w:type="spellEnd"/>
      <w:r w:rsidR="00C64197" w:rsidRPr="0024559F">
        <w:t xml:space="preserve"> power plant in Estonia and planned AST Battery Energy Storage System in Latvia) and planned resources of Battery storage operator in Lithuania are shown in the figure below:</w:t>
      </w:r>
    </w:p>
    <w:p w14:paraId="6838B66C" w14:textId="6C1C8778" w:rsidR="002843B9" w:rsidRPr="0024559F" w:rsidRDefault="00976D2B" w:rsidP="002843B9">
      <w:pPr>
        <w:pStyle w:val="textregular"/>
      </w:pPr>
      <w:r w:rsidRPr="0024559F">
        <w:rPr>
          <w:noProof/>
        </w:rPr>
        <w:lastRenderedPageBreak/>
        <w:drawing>
          <wp:inline distT="0" distB="0" distL="0" distR="0" wp14:anchorId="1D860753" wp14:editId="030F1DEB">
            <wp:extent cx="6047740" cy="2108200"/>
            <wp:effectExtent l="0" t="0" r="0" b="6350"/>
            <wp:docPr id="4" name="Picture 4"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pie chart&#10;&#10;Description automatically generated"/>
                    <pic:cNvPicPr/>
                  </pic:nvPicPr>
                  <pic:blipFill>
                    <a:blip r:embed="rId12"/>
                    <a:stretch>
                      <a:fillRect/>
                    </a:stretch>
                  </pic:blipFill>
                  <pic:spPr>
                    <a:xfrm>
                      <a:off x="0" y="0"/>
                      <a:ext cx="6047740" cy="2108200"/>
                    </a:xfrm>
                    <a:prstGeom prst="rect">
                      <a:avLst/>
                    </a:prstGeom>
                  </pic:spPr>
                </pic:pic>
              </a:graphicData>
            </a:graphic>
          </wp:inline>
        </w:drawing>
      </w:r>
    </w:p>
    <w:p w14:paraId="6F3C32AD" w14:textId="435531FB" w:rsidR="00370583" w:rsidRPr="0024559F" w:rsidRDefault="40175572" w:rsidP="00370583">
      <w:pPr>
        <w:pStyle w:val="headline1"/>
        <w:rPr>
          <w:lang w:val="en-GB"/>
        </w:rPr>
      </w:pPr>
      <w:bookmarkStart w:id="6" w:name="_Toc220146194"/>
      <w:r w:rsidRPr="68683882">
        <w:rPr>
          <w:lang w:val="en-GB"/>
        </w:rPr>
        <w:t>Products</w:t>
      </w:r>
      <w:bookmarkEnd w:id="6"/>
    </w:p>
    <w:p w14:paraId="4C305AD2" w14:textId="6F2E7C63" w:rsidR="00A9052E" w:rsidRPr="0024559F" w:rsidRDefault="00CF55C7" w:rsidP="00370583">
      <w:pPr>
        <w:pStyle w:val="textregular"/>
      </w:pPr>
      <w:r w:rsidRPr="0024559F">
        <w:t xml:space="preserve">Baltic Balancing market foresees </w:t>
      </w:r>
      <w:r w:rsidR="0079115D" w:rsidRPr="0024559F">
        <w:t>using</w:t>
      </w:r>
      <w:r w:rsidRPr="0024559F">
        <w:t xml:space="preserve"> the standard FCR, aFRR and mFRR capacity products as described in the </w:t>
      </w:r>
      <w:r w:rsidR="00FE3FA1" w:rsidRPr="0024559F">
        <w:t>P</w:t>
      </w:r>
      <w:r w:rsidRPr="0024559F">
        <w:t>roposal.</w:t>
      </w:r>
      <w:r w:rsidR="00EA1959" w:rsidRPr="0024559F">
        <w:t xml:space="preserve"> The BSP must be prequalified </w:t>
      </w:r>
      <w:r w:rsidR="00A9052E" w:rsidRPr="0024559F">
        <w:t>by the Connecting TSO to</w:t>
      </w:r>
      <w:r w:rsidR="00EA1959" w:rsidRPr="0024559F">
        <w:t xml:space="preserve"> participate in the </w:t>
      </w:r>
      <w:r w:rsidR="009C07A9" w:rsidRPr="0024559F">
        <w:t xml:space="preserve">Baltic capacity market. </w:t>
      </w:r>
    </w:p>
    <w:p w14:paraId="58098530" w14:textId="06297407" w:rsidR="00A9052E" w:rsidRPr="0024559F" w:rsidRDefault="00A9052E" w:rsidP="00370583">
      <w:pPr>
        <w:pStyle w:val="textregular"/>
      </w:pPr>
      <w:r w:rsidRPr="0024559F">
        <w:t xml:space="preserve">Main aspects for the standard FCR </w:t>
      </w:r>
      <w:r w:rsidR="0098704D" w:rsidRPr="0024559F">
        <w:t>product</w:t>
      </w:r>
      <w:r w:rsidRPr="0024559F">
        <w:t>:</w:t>
      </w:r>
    </w:p>
    <w:p w14:paraId="3D9FFB59" w14:textId="23994B65" w:rsidR="00A9052E" w:rsidRPr="0024559F" w:rsidRDefault="00B51159" w:rsidP="001D3438">
      <w:pPr>
        <w:pStyle w:val="textregular"/>
        <w:numPr>
          <w:ilvl w:val="0"/>
          <w:numId w:val="11"/>
        </w:numPr>
      </w:pPr>
      <w:r>
        <w:t>m</w:t>
      </w:r>
      <w:r w:rsidR="00C20546" w:rsidRPr="0024559F">
        <w:t xml:space="preserve">inimum bid quantity is 1 </w:t>
      </w:r>
      <w:proofErr w:type="gramStart"/>
      <w:r w:rsidR="00C20546" w:rsidRPr="0024559F">
        <w:t>MW</w:t>
      </w:r>
      <w:proofErr w:type="gramEnd"/>
      <w:r w:rsidR="00C20546" w:rsidRPr="0024559F">
        <w:t xml:space="preserve"> and the granularity is 1 MW</w:t>
      </w:r>
      <w:r>
        <w:t>;</w:t>
      </w:r>
    </w:p>
    <w:p w14:paraId="38AF6A1E" w14:textId="2DAE61C4" w:rsidR="00C20546" w:rsidRPr="0024559F" w:rsidRDefault="00B51159" w:rsidP="001D3438">
      <w:pPr>
        <w:pStyle w:val="textregular"/>
        <w:numPr>
          <w:ilvl w:val="0"/>
          <w:numId w:val="11"/>
        </w:numPr>
      </w:pPr>
      <w:r>
        <w:t>m</w:t>
      </w:r>
      <w:r w:rsidR="0098704D">
        <w:t>aximum</w:t>
      </w:r>
      <w:r w:rsidR="00C20546">
        <w:t xml:space="preserve"> bid size is limited by the </w:t>
      </w:r>
      <w:r w:rsidR="79D61719">
        <w:t>prequalifi</w:t>
      </w:r>
      <w:r w:rsidR="47A31792">
        <w:t>ed</w:t>
      </w:r>
      <w:r w:rsidR="00C20546">
        <w:t xml:space="preserve"> BSP resources</w:t>
      </w:r>
      <w:r w:rsidR="4F6D5D5E">
        <w:t xml:space="preserve"> eligible for participation in the Baltic balancing </w:t>
      </w:r>
      <w:proofErr w:type="gramStart"/>
      <w:r w:rsidR="4F6D5D5E">
        <w:t>market</w:t>
      </w:r>
      <w:r>
        <w:t>;</w:t>
      </w:r>
      <w:proofErr w:type="gramEnd"/>
    </w:p>
    <w:p w14:paraId="53D00642" w14:textId="3E6E70E9" w:rsidR="148977F2" w:rsidRDefault="12D6DD14" w:rsidP="148977F2">
      <w:pPr>
        <w:pStyle w:val="textregular"/>
        <w:numPr>
          <w:ilvl w:val="0"/>
          <w:numId w:val="11"/>
        </w:numPr>
      </w:pPr>
      <w:r>
        <w:t xml:space="preserve">divisible bids are allowed as default bids. Indivisible or partly divisible bids are allowed based on the BSP </w:t>
      </w:r>
      <w:proofErr w:type="gramStart"/>
      <w:r>
        <w:t>prequalification</w:t>
      </w:r>
      <w:proofErr w:type="gramEnd"/>
    </w:p>
    <w:p w14:paraId="7CBE234C" w14:textId="5AAC511F" w:rsidR="00C20546" w:rsidRPr="0024559F" w:rsidRDefault="00B51159" w:rsidP="001D3438">
      <w:pPr>
        <w:pStyle w:val="textregular"/>
        <w:numPr>
          <w:ilvl w:val="0"/>
          <w:numId w:val="11"/>
        </w:numPr>
      </w:pPr>
      <w:r>
        <w:t>p</w:t>
      </w:r>
      <w:r w:rsidR="006C3619">
        <w:t xml:space="preserve">rice </w:t>
      </w:r>
      <w:r w:rsidR="00431784">
        <w:t xml:space="preserve">is </w:t>
      </w:r>
      <w:r w:rsidR="0098704D">
        <w:t>in EUR/MW</w:t>
      </w:r>
      <w:r w:rsidR="6D13FD57">
        <w:t>/h</w:t>
      </w:r>
      <w:r w:rsidR="0098704D">
        <w:t xml:space="preserve"> and it </w:t>
      </w:r>
      <w:r w:rsidR="00431784">
        <w:t xml:space="preserve">is positive or zero, limited up to the </w:t>
      </w:r>
      <w:r w:rsidR="0098704D">
        <w:t xml:space="preserve">maximum </w:t>
      </w:r>
      <w:r w:rsidR="00431784">
        <w:t xml:space="preserve">possible </w:t>
      </w:r>
      <w:r w:rsidR="0098704D">
        <w:t xml:space="preserve">bid price in the day-ahead market in Baltic </w:t>
      </w:r>
      <w:proofErr w:type="gramStart"/>
      <w:r w:rsidR="0098704D">
        <w:t>region</w:t>
      </w:r>
      <w:r w:rsidR="00CC2C2A">
        <w:t xml:space="preserve"> </w:t>
      </w:r>
      <w:r>
        <w:t>;</w:t>
      </w:r>
      <w:proofErr w:type="gramEnd"/>
    </w:p>
    <w:p w14:paraId="1610FB0B" w14:textId="6432E9D5" w:rsidR="0098704D" w:rsidRPr="0024559F" w:rsidRDefault="00B51159" w:rsidP="001D3438">
      <w:pPr>
        <w:pStyle w:val="textregular"/>
        <w:numPr>
          <w:ilvl w:val="0"/>
          <w:numId w:val="11"/>
        </w:numPr>
      </w:pPr>
      <w:r>
        <w:t>v</w:t>
      </w:r>
      <w:r w:rsidR="00383876">
        <w:t xml:space="preserve">alidity period is for one single market time </w:t>
      </w:r>
      <w:proofErr w:type="gramStart"/>
      <w:r w:rsidR="00383876">
        <w:t>unit</w:t>
      </w:r>
      <w:r>
        <w:t>;</w:t>
      </w:r>
      <w:proofErr w:type="gramEnd"/>
    </w:p>
    <w:p w14:paraId="3AB70BD0" w14:textId="39D98967" w:rsidR="00383876" w:rsidRPr="0024559F" w:rsidRDefault="00B51159" w:rsidP="001D3438">
      <w:pPr>
        <w:pStyle w:val="textregular"/>
        <w:numPr>
          <w:ilvl w:val="0"/>
          <w:numId w:val="11"/>
        </w:numPr>
      </w:pPr>
      <w:r>
        <w:t>b</w:t>
      </w:r>
      <w:r w:rsidR="0071762D">
        <w:t xml:space="preserve">lock bid linkage is </w:t>
      </w:r>
      <w:proofErr w:type="gramStart"/>
      <w:r w:rsidR="0071762D">
        <w:t>allowed</w:t>
      </w:r>
      <w:r>
        <w:t>;</w:t>
      </w:r>
      <w:proofErr w:type="gramEnd"/>
    </w:p>
    <w:p w14:paraId="4EDCE397" w14:textId="77777777" w:rsidR="008D0CAC" w:rsidRPr="0024559F" w:rsidRDefault="008D0CAC" w:rsidP="008D0CAC">
      <w:pPr>
        <w:pStyle w:val="textregular"/>
      </w:pPr>
    </w:p>
    <w:p w14:paraId="0EFE6855" w14:textId="075D85A2" w:rsidR="008D0CAC" w:rsidRPr="0024559F" w:rsidRDefault="008D0CAC" w:rsidP="008D0CAC">
      <w:pPr>
        <w:pStyle w:val="textregular"/>
      </w:pPr>
      <w:r w:rsidRPr="0024559F">
        <w:t>Main aspects for the standard FRR product:</w:t>
      </w:r>
    </w:p>
    <w:p w14:paraId="7BB0650C" w14:textId="3805A6BF" w:rsidR="008D0CAC" w:rsidRPr="0024559F" w:rsidRDefault="00B51159" w:rsidP="001D3438">
      <w:pPr>
        <w:pStyle w:val="textregular"/>
        <w:numPr>
          <w:ilvl w:val="0"/>
          <w:numId w:val="12"/>
        </w:numPr>
      </w:pPr>
      <w:r>
        <w:t>m</w:t>
      </w:r>
      <w:r w:rsidR="008D0CAC" w:rsidRPr="0024559F">
        <w:t xml:space="preserve">inimum bid quantity is 1 </w:t>
      </w:r>
      <w:proofErr w:type="gramStart"/>
      <w:r w:rsidR="008D0CAC" w:rsidRPr="0024559F">
        <w:t>MW</w:t>
      </w:r>
      <w:proofErr w:type="gramEnd"/>
      <w:r w:rsidR="008D0CAC" w:rsidRPr="0024559F">
        <w:t xml:space="preserve"> and the granularity is 1 MW</w:t>
      </w:r>
      <w:r>
        <w:t>;</w:t>
      </w:r>
    </w:p>
    <w:p w14:paraId="3921874E" w14:textId="2389E8B3" w:rsidR="008D0CAC" w:rsidRPr="0024559F" w:rsidRDefault="00B51159" w:rsidP="001D3438">
      <w:pPr>
        <w:pStyle w:val="textregular"/>
        <w:numPr>
          <w:ilvl w:val="0"/>
          <w:numId w:val="12"/>
        </w:numPr>
        <w:rPr>
          <w:rFonts w:eastAsiaTheme="minorEastAsia"/>
        </w:rPr>
      </w:pPr>
      <w:r>
        <w:t>m</w:t>
      </w:r>
      <w:r w:rsidR="008D0CAC" w:rsidRPr="0024559F">
        <w:t xml:space="preserve">aximum bid size is limited by the </w:t>
      </w:r>
      <w:r w:rsidR="05761325" w:rsidRPr="0024559F">
        <w:t>prequalifi</w:t>
      </w:r>
      <w:r w:rsidR="6F35231C" w:rsidRPr="0024559F">
        <w:t>ed</w:t>
      </w:r>
      <w:r w:rsidR="008D0CAC" w:rsidRPr="0024559F">
        <w:t xml:space="preserve"> BSP resources</w:t>
      </w:r>
      <w:r w:rsidR="2D57ABED" w:rsidRPr="0024559F">
        <w:t xml:space="preserve"> eligible for participation in the Baltic balancing </w:t>
      </w:r>
      <w:proofErr w:type="gramStart"/>
      <w:r w:rsidR="2D57ABED" w:rsidRPr="0024559F">
        <w:t>market</w:t>
      </w:r>
      <w:r>
        <w:t>;</w:t>
      </w:r>
      <w:proofErr w:type="gramEnd"/>
    </w:p>
    <w:p w14:paraId="0CD7AC61" w14:textId="2A86A7A4" w:rsidR="00380DFC" w:rsidRPr="0024559F" w:rsidRDefault="00B51159" w:rsidP="001D3438">
      <w:pPr>
        <w:pStyle w:val="textregular"/>
        <w:numPr>
          <w:ilvl w:val="0"/>
          <w:numId w:val="12"/>
        </w:numPr>
      </w:pPr>
      <w:r>
        <w:t>r</w:t>
      </w:r>
      <w:r w:rsidR="00380DFC" w:rsidRPr="0024559F">
        <w:t xml:space="preserve">egarding product </w:t>
      </w:r>
      <w:proofErr w:type="gramStart"/>
      <w:r w:rsidR="00380DFC" w:rsidRPr="0024559F">
        <w:t>divisibility</w:t>
      </w:r>
      <w:r>
        <w:t>;</w:t>
      </w:r>
      <w:proofErr w:type="gramEnd"/>
    </w:p>
    <w:p w14:paraId="48FCB378" w14:textId="0ADA1A85" w:rsidR="00380DFC" w:rsidRPr="0024559F" w:rsidRDefault="4AF60FDC" w:rsidP="001D3438">
      <w:pPr>
        <w:pStyle w:val="textregular"/>
        <w:numPr>
          <w:ilvl w:val="1"/>
          <w:numId w:val="12"/>
        </w:numPr>
      </w:pPr>
      <w:r w:rsidRPr="0024559F">
        <w:t>aFRR</w:t>
      </w:r>
      <w:r w:rsidR="00C85C7F">
        <w:t xml:space="preserve"> and mFRR</w:t>
      </w:r>
      <w:r w:rsidRPr="0024559F">
        <w:t xml:space="preserve"> – </w:t>
      </w:r>
      <w:r w:rsidR="5FCC97FF" w:rsidRPr="0024559F">
        <w:t xml:space="preserve">divisible bids are allowed as default bids. Indivisible or partly divisible bids are allowed based on the BSP </w:t>
      </w:r>
      <w:proofErr w:type="gramStart"/>
      <w:r w:rsidR="5FCC97FF" w:rsidRPr="0024559F">
        <w:t>prequalification</w:t>
      </w:r>
      <w:r w:rsidR="00B51159">
        <w:t>;</w:t>
      </w:r>
      <w:proofErr w:type="gramEnd"/>
      <w:r w:rsidR="5FCC97FF" w:rsidRPr="0024559F">
        <w:t xml:space="preserve"> </w:t>
      </w:r>
    </w:p>
    <w:p w14:paraId="56507E3F" w14:textId="39CB1723" w:rsidR="008D0CAC" w:rsidRPr="0024559F" w:rsidRDefault="00B51159" w:rsidP="001D3438">
      <w:pPr>
        <w:pStyle w:val="textregular"/>
        <w:numPr>
          <w:ilvl w:val="0"/>
          <w:numId w:val="12"/>
        </w:numPr>
      </w:pPr>
      <w:r>
        <w:t>p</w:t>
      </w:r>
      <w:r w:rsidR="008D0CAC">
        <w:t>rice is in EUR/MW</w:t>
      </w:r>
      <w:r w:rsidR="7FBA5328">
        <w:t>/h</w:t>
      </w:r>
      <w:r w:rsidR="008D0CAC">
        <w:t xml:space="preserve"> and it is positive or zero, limited up to the maximum possible bid price in the day-ahead markets in Baltic </w:t>
      </w:r>
      <w:proofErr w:type="gramStart"/>
      <w:r w:rsidR="008D0CAC">
        <w:t>region</w:t>
      </w:r>
      <w:r w:rsidR="006735AA">
        <w:t xml:space="preserve"> </w:t>
      </w:r>
      <w:r>
        <w:t>;</w:t>
      </w:r>
      <w:proofErr w:type="gramEnd"/>
    </w:p>
    <w:p w14:paraId="69081897" w14:textId="40AFB942" w:rsidR="008D0CAC" w:rsidRPr="0024559F" w:rsidRDefault="00B51159" w:rsidP="001D3438">
      <w:pPr>
        <w:pStyle w:val="textregular"/>
        <w:numPr>
          <w:ilvl w:val="0"/>
          <w:numId w:val="12"/>
        </w:numPr>
      </w:pPr>
      <w:r>
        <w:t>v</w:t>
      </w:r>
      <w:r w:rsidR="008D0CAC" w:rsidRPr="0024559F">
        <w:t xml:space="preserve">alidity period is for one single market time </w:t>
      </w:r>
      <w:proofErr w:type="gramStart"/>
      <w:r w:rsidR="008D0CAC" w:rsidRPr="0024559F">
        <w:t>unit</w:t>
      </w:r>
      <w:r>
        <w:t>;</w:t>
      </w:r>
      <w:proofErr w:type="gramEnd"/>
    </w:p>
    <w:p w14:paraId="76A453A9" w14:textId="3062DF56" w:rsidR="008D0CAC" w:rsidRPr="0024559F" w:rsidRDefault="00B51159" w:rsidP="001D3438">
      <w:pPr>
        <w:pStyle w:val="textregular"/>
        <w:numPr>
          <w:ilvl w:val="0"/>
          <w:numId w:val="12"/>
        </w:numPr>
      </w:pPr>
      <w:r>
        <w:t>b</w:t>
      </w:r>
      <w:r w:rsidR="008D0CAC">
        <w:t>lock bid linkage</w:t>
      </w:r>
      <w:r w:rsidR="00622F4B">
        <w:t>, joint linked up-and-down bids and exclusive linkage is allowed.</w:t>
      </w:r>
    </w:p>
    <w:p w14:paraId="716A0176" w14:textId="370AA3F3" w:rsidR="398B891E" w:rsidRDefault="398B891E" w:rsidP="1B3074D8">
      <w:pPr>
        <w:pStyle w:val="textregular"/>
        <w:numPr>
          <w:ilvl w:val="0"/>
          <w:numId w:val="12"/>
        </w:numPr>
      </w:pPr>
      <w:r>
        <w:t xml:space="preserve">Minimum resting time: minimum required duration between the end of acceptance and the following acceptance of the same </w:t>
      </w:r>
      <w:r w:rsidR="4EE316AB">
        <w:t xml:space="preserve">balancing capacity </w:t>
      </w:r>
      <w:proofErr w:type="gramStart"/>
      <w:r>
        <w:t>bid</w:t>
      </w:r>
      <w:r w:rsidR="7DEB93ED">
        <w:t>;</w:t>
      </w:r>
      <w:proofErr w:type="gramEnd"/>
    </w:p>
    <w:p w14:paraId="319046E9" w14:textId="747BF0D0" w:rsidR="7DEB93ED" w:rsidRDefault="7DEB93ED" w:rsidP="1B3074D8">
      <w:pPr>
        <w:pStyle w:val="textregular"/>
        <w:numPr>
          <w:ilvl w:val="0"/>
          <w:numId w:val="12"/>
        </w:numPr>
      </w:pPr>
      <w:r>
        <w:t>Maximum duration: maximum duration of the accepted balancing capacity bid</w:t>
      </w:r>
      <w:r w:rsidR="00DE4BC8">
        <w:t>.</w:t>
      </w:r>
    </w:p>
    <w:p w14:paraId="345FA7B9" w14:textId="41F1E432" w:rsidR="00167B33" w:rsidRPr="0024559F" w:rsidRDefault="00167B33" w:rsidP="00167B33">
      <w:pPr>
        <w:pStyle w:val="textregular"/>
      </w:pPr>
      <w:r>
        <w:lastRenderedPageBreak/>
        <w:t xml:space="preserve">The reason for setting the maximum limit </w:t>
      </w:r>
      <w:r w:rsidR="006968EB">
        <w:t xml:space="preserve">for the balancing capacity bid price </w:t>
      </w:r>
      <w:r w:rsidR="001A4AA2">
        <w:t xml:space="preserve">to be equal to the maximum possible bid price in the day-ahead market </w:t>
      </w:r>
      <w:r w:rsidR="008A5E5D">
        <w:t>is because the reserve pro</w:t>
      </w:r>
      <w:r w:rsidR="007D645C">
        <w:t xml:space="preserve">viding unit or </w:t>
      </w:r>
      <w:r w:rsidR="002C6386">
        <w:t xml:space="preserve">reserve providing </w:t>
      </w:r>
      <w:r w:rsidR="00A25C3A">
        <w:t>group withholds</w:t>
      </w:r>
      <w:r w:rsidR="00D14BD0">
        <w:t xml:space="preserve"> the</w:t>
      </w:r>
      <w:r w:rsidR="007D645C">
        <w:t xml:space="preserve"> </w:t>
      </w:r>
      <w:r w:rsidR="002C6386">
        <w:t>energy</w:t>
      </w:r>
      <w:r w:rsidR="00D14BD0">
        <w:t xml:space="preserve"> that could be provided</w:t>
      </w:r>
      <w:r w:rsidR="002C6386">
        <w:t xml:space="preserve"> to the day-ahead market</w:t>
      </w:r>
      <w:r w:rsidR="00D96407">
        <w:t xml:space="preserve"> by </w:t>
      </w:r>
      <w:r w:rsidR="005B030A">
        <w:t>delivering balancing capacity</w:t>
      </w:r>
      <w:r w:rsidR="00BB2674">
        <w:t xml:space="preserve">. Due to the withholding, </w:t>
      </w:r>
      <w:r w:rsidR="007E02C8">
        <w:t xml:space="preserve">opportunity costs arise which </w:t>
      </w:r>
      <w:r w:rsidR="007346E1">
        <w:t xml:space="preserve">are </w:t>
      </w:r>
      <w:proofErr w:type="gramStart"/>
      <w:r w:rsidR="007346E1">
        <w:t>taken into account</w:t>
      </w:r>
      <w:proofErr w:type="gramEnd"/>
      <w:r w:rsidR="007346E1">
        <w:t xml:space="preserve"> when formulating the price for standard balancing capacity products. Therefore, the</w:t>
      </w:r>
      <w:r w:rsidR="0079548F">
        <w:t xml:space="preserve"> maximum possible price of</w:t>
      </w:r>
      <w:r w:rsidR="00D17956">
        <w:t xml:space="preserve"> a</w:t>
      </w:r>
      <w:r w:rsidR="0079548F">
        <w:t xml:space="preserve"> balancing capacity bid</w:t>
      </w:r>
      <w:r w:rsidR="00C878C5">
        <w:t xml:space="preserve"> should</w:t>
      </w:r>
      <w:r w:rsidR="0079548F">
        <w:t xml:space="preserve"> be the same as the maximum possible price for a day-ahead </w:t>
      </w:r>
      <w:r w:rsidR="00C878C5">
        <w:t>market bid</w:t>
      </w:r>
      <w:r w:rsidR="00F43658">
        <w:t>.</w:t>
      </w:r>
      <w:r w:rsidR="009A26D6">
        <w:t xml:space="preserve"> </w:t>
      </w:r>
      <w:r w:rsidR="00C2250F">
        <w:t xml:space="preserve"> </w:t>
      </w:r>
    </w:p>
    <w:p w14:paraId="0D53758A" w14:textId="7A0F3732" w:rsidR="00370583" w:rsidRPr="0024559F" w:rsidRDefault="55BC9902" w:rsidP="001D3438">
      <w:pPr>
        <w:pStyle w:val="headline1"/>
        <w:numPr>
          <w:ilvl w:val="1"/>
          <w:numId w:val="10"/>
        </w:numPr>
        <w:rPr>
          <w:lang w:val="en-GB"/>
        </w:rPr>
      </w:pPr>
      <w:bookmarkStart w:id="7" w:name="_Toc874864571"/>
      <w:r w:rsidRPr="68683882">
        <w:rPr>
          <w:lang w:val="en-GB"/>
        </w:rPr>
        <w:t>Linkage of bids</w:t>
      </w:r>
      <w:bookmarkEnd w:id="7"/>
    </w:p>
    <w:p w14:paraId="731D6842" w14:textId="55F0BCAF" w:rsidR="00370583" w:rsidRPr="0024559F" w:rsidRDefault="00750A1F" w:rsidP="00370583">
      <w:pPr>
        <w:pStyle w:val="textregular"/>
        <w:rPr>
          <w:i/>
        </w:rPr>
      </w:pPr>
      <w:r w:rsidRPr="0024559F">
        <w:rPr>
          <w:i/>
          <w:iCs/>
        </w:rPr>
        <w:t>Block linkage</w:t>
      </w:r>
    </w:p>
    <w:p w14:paraId="13A36665" w14:textId="5AAA8E64" w:rsidR="00BB0605" w:rsidRPr="0024559F" w:rsidRDefault="00750A1F" w:rsidP="00370583">
      <w:pPr>
        <w:pStyle w:val="textregular"/>
      </w:pPr>
      <w:r w:rsidRPr="0024559F">
        <w:t xml:space="preserve">This kind of linkage refers to the </w:t>
      </w:r>
      <w:r w:rsidR="00A42EB8" w:rsidRPr="0024559F">
        <w:t xml:space="preserve">linkage between bids with the same </w:t>
      </w:r>
      <w:r w:rsidR="00A3119E" w:rsidRPr="0024559F">
        <w:t xml:space="preserve">product, </w:t>
      </w:r>
      <w:r w:rsidR="00A42EB8" w:rsidRPr="0024559F">
        <w:t xml:space="preserve">volume, </w:t>
      </w:r>
      <w:r w:rsidR="00414C1D" w:rsidRPr="0024559F">
        <w:t>direction,</w:t>
      </w:r>
      <w:r w:rsidR="00A42EB8" w:rsidRPr="0024559F">
        <w:t xml:space="preserve"> and price of </w:t>
      </w:r>
      <w:r w:rsidR="00F4029D" w:rsidRPr="0024559F">
        <w:t>consecutive</w:t>
      </w:r>
      <w:r w:rsidR="00A42EB8" w:rsidRPr="0024559F">
        <w:t xml:space="preserve"> market time units. If one of </w:t>
      </w:r>
      <w:r w:rsidR="00990598" w:rsidRPr="0024559F">
        <w:t xml:space="preserve">those bids </w:t>
      </w:r>
      <w:r w:rsidR="0079115D" w:rsidRPr="0024559F">
        <w:t>is</w:t>
      </w:r>
      <w:r w:rsidR="00990598" w:rsidRPr="0024559F">
        <w:t xml:space="preserve"> accepted, then all li</w:t>
      </w:r>
      <w:r w:rsidR="00E07E6D" w:rsidRPr="0024559F">
        <w:t>n</w:t>
      </w:r>
      <w:r w:rsidR="00990598" w:rsidRPr="0024559F">
        <w:t xml:space="preserve">ked bids are accepted too. </w:t>
      </w:r>
      <w:r w:rsidR="00D07A4D" w:rsidRPr="0024559F">
        <w:t>The accepted amount for a block bid shall be equal for all individual elements of the block</w:t>
      </w:r>
      <w:r w:rsidR="00BA22E1" w:rsidRPr="0024559F">
        <w:t xml:space="preserve">. </w:t>
      </w:r>
      <w:r w:rsidR="00BF70C2" w:rsidRPr="0024559F">
        <w:t xml:space="preserve">Block bid linkage is limited </w:t>
      </w:r>
      <w:r w:rsidR="0012187B" w:rsidRPr="0024559F">
        <w:t>only by those MTUs</w:t>
      </w:r>
      <w:r w:rsidR="00030722" w:rsidRPr="0024559F">
        <w:t xml:space="preserve"> for which market is run (maximum </w:t>
      </w:r>
      <w:r w:rsidR="008B135E" w:rsidRPr="0024559F">
        <w:t xml:space="preserve">amount of MTUs included in </w:t>
      </w:r>
      <w:r w:rsidR="00030722" w:rsidRPr="0024559F">
        <w:t xml:space="preserve">linkage </w:t>
      </w:r>
      <w:r w:rsidR="008B135E" w:rsidRPr="0024559F">
        <w:t xml:space="preserve">is equal to the number of MTUs in </w:t>
      </w:r>
      <w:r w:rsidR="006A5B21" w:rsidRPr="0024559F">
        <w:t>an</w:t>
      </w:r>
      <w:r w:rsidR="008B135E" w:rsidRPr="0024559F">
        <w:t xml:space="preserve"> </w:t>
      </w:r>
      <w:r w:rsidR="006A5B21" w:rsidRPr="0024559F">
        <w:t>auction period</w:t>
      </w:r>
      <w:r w:rsidR="008B135E" w:rsidRPr="0024559F">
        <w:t>).</w:t>
      </w:r>
      <w:r w:rsidR="00990598" w:rsidRPr="0024559F">
        <w:t xml:space="preserve"> </w:t>
      </w:r>
      <w:r w:rsidR="00FC4163" w:rsidRPr="0024559F">
        <w:t xml:space="preserve">The possible </w:t>
      </w:r>
      <w:r w:rsidR="00D87877" w:rsidRPr="0024559F">
        <w:t xml:space="preserve">combinations with other </w:t>
      </w:r>
      <w:r w:rsidR="0079115D" w:rsidRPr="0024559F">
        <w:t>types</w:t>
      </w:r>
      <w:r w:rsidR="00D87877" w:rsidRPr="0024559F">
        <w:t xml:space="preserve"> of linkage </w:t>
      </w:r>
      <w:r w:rsidR="006A5B21" w:rsidRPr="0024559F">
        <w:t>for FRR product</w:t>
      </w:r>
      <w:r w:rsidR="00D87877" w:rsidRPr="0024559F">
        <w:t xml:space="preserve"> are describe</w:t>
      </w:r>
      <w:r w:rsidR="00C8259B" w:rsidRPr="0024559F">
        <w:t>d</w:t>
      </w:r>
      <w:r w:rsidR="00D87877" w:rsidRPr="0024559F">
        <w:t xml:space="preserve"> in table below. </w:t>
      </w:r>
    </w:p>
    <w:p w14:paraId="554D59AF" w14:textId="0EB60D76" w:rsidR="00750A1F" w:rsidRPr="0024559F" w:rsidRDefault="008C1318" w:rsidP="00370583">
      <w:pPr>
        <w:pStyle w:val="textregular"/>
      </w:pPr>
      <w:r w:rsidRPr="0024559F">
        <w:t>If block bids are accepted, it is possible that the clearing price</w:t>
      </w:r>
      <w:r w:rsidR="00B261A9" w:rsidRPr="0024559F">
        <w:t xml:space="preserve"> in some individual market time units</w:t>
      </w:r>
      <w:r w:rsidRPr="0024559F">
        <w:t xml:space="preserve"> is not always equal or above the accepted block bid price, however </w:t>
      </w:r>
      <w:r w:rsidR="00A33958" w:rsidRPr="0024559F">
        <w:t xml:space="preserve">per entire block, the </w:t>
      </w:r>
      <w:r w:rsidR="00B32EED" w:rsidRPr="0024559F">
        <w:t xml:space="preserve">average </w:t>
      </w:r>
      <w:r w:rsidR="00A33958" w:rsidRPr="0024559F">
        <w:t>payout</w:t>
      </w:r>
      <w:r w:rsidR="00B32EED" w:rsidRPr="0024559F">
        <w:t xml:space="preserve"> (€/MW)</w:t>
      </w:r>
      <w:r w:rsidR="00A33958" w:rsidRPr="0024559F">
        <w:t xml:space="preserve"> is guaranteed to be equal or higher than the </w:t>
      </w:r>
      <w:r w:rsidR="00B32EED" w:rsidRPr="0024559F">
        <w:t>bidding price of the block.</w:t>
      </w:r>
    </w:p>
    <w:p w14:paraId="792F23BB" w14:textId="1A79808E" w:rsidR="00BB0605" w:rsidRPr="0024559F" w:rsidRDefault="00BB0605" w:rsidP="00370583">
      <w:pPr>
        <w:pStyle w:val="textregular"/>
      </w:pPr>
      <w:r w:rsidRPr="0024559F">
        <w:t>Block bids can be combined with joint linking of bids as well as exclusive grouping of bids.</w:t>
      </w:r>
    </w:p>
    <w:p w14:paraId="187CD954" w14:textId="77777777" w:rsidR="0096542D" w:rsidRPr="0024559F" w:rsidRDefault="0096542D" w:rsidP="00370583">
      <w:pPr>
        <w:pStyle w:val="textregular"/>
      </w:pPr>
    </w:p>
    <w:p w14:paraId="67491331" w14:textId="40B5F703" w:rsidR="00990598" w:rsidRPr="0024559F" w:rsidRDefault="00990598" w:rsidP="1413E2D0">
      <w:pPr>
        <w:pStyle w:val="textregular"/>
        <w:rPr>
          <w:i/>
          <w:iCs/>
        </w:rPr>
      </w:pPr>
      <w:r w:rsidRPr="0024559F">
        <w:rPr>
          <w:i/>
          <w:iCs/>
        </w:rPr>
        <w:t>Joint linked bids</w:t>
      </w:r>
    </w:p>
    <w:p w14:paraId="5F672CB0" w14:textId="074EFEB0" w:rsidR="00990598" w:rsidRPr="0024559F" w:rsidRDefault="00990598" w:rsidP="00370583">
      <w:pPr>
        <w:pStyle w:val="textregular"/>
      </w:pPr>
      <w:r w:rsidRPr="0024559F">
        <w:t xml:space="preserve">This linkage </w:t>
      </w:r>
      <w:r w:rsidR="00BB04C2" w:rsidRPr="0024559F">
        <w:t xml:space="preserve">corresponds to </w:t>
      </w:r>
      <w:r w:rsidR="00E053CF" w:rsidRPr="0024559F">
        <w:t>linking several bids</w:t>
      </w:r>
      <w:r w:rsidR="00BB04C2" w:rsidRPr="0024559F">
        <w:t xml:space="preserve"> in the same market time. </w:t>
      </w:r>
      <w:r w:rsidR="00FB2503" w:rsidRPr="0024559F">
        <w:t>The linked bid must both be accepted</w:t>
      </w:r>
      <w:r w:rsidR="00346207" w:rsidRPr="0024559F">
        <w:t xml:space="preserve"> in </w:t>
      </w:r>
      <w:r w:rsidR="00175BD0" w:rsidRPr="0024559F">
        <w:t>equal amounts or rejected together.</w:t>
      </w:r>
      <w:r w:rsidR="003427BE" w:rsidRPr="0024559F">
        <w:t xml:space="preserve"> </w:t>
      </w:r>
      <w:r w:rsidR="00A82D50" w:rsidRPr="0024559F">
        <w:t xml:space="preserve">Joint linked bids can be </w:t>
      </w:r>
      <w:r w:rsidR="00482145" w:rsidRPr="0024559F">
        <w:t xml:space="preserve">used to </w:t>
      </w:r>
      <w:r w:rsidR="00C12784" w:rsidRPr="0024559F">
        <w:t xml:space="preserve">link either aFRR up with aFRR down or mFRR up with mFRR down. </w:t>
      </w:r>
      <w:r w:rsidR="00A3437A" w:rsidRPr="0024559F">
        <w:t xml:space="preserve">Joint linked bids cannot be used to link aFRR products with mFRR products or </w:t>
      </w:r>
      <w:r w:rsidR="00F97611" w:rsidRPr="0024559F">
        <w:t xml:space="preserve">bids </w:t>
      </w:r>
      <w:r w:rsidR="00712CA9" w:rsidRPr="0024559F">
        <w:t>which are not submitted for the same market time unit.</w:t>
      </w:r>
      <w:r w:rsidR="006C575E" w:rsidRPr="0024559F">
        <w:t xml:space="preserve"> </w:t>
      </w:r>
    </w:p>
    <w:p w14:paraId="7429A903" w14:textId="6727F2F3" w:rsidR="006C575E" w:rsidRPr="0024559F" w:rsidRDefault="006C575E" w:rsidP="00370583">
      <w:pPr>
        <w:pStyle w:val="textregular"/>
      </w:pPr>
      <w:r w:rsidRPr="0024559F">
        <w:t>Joint linked bids can be combined with block bids as well as exclusive grouping of bids.</w:t>
      </w:r>
    </w:p>
    <w:p w14:paraId="62E93DB9" w14:textId="77777777" w:rsidR="0096542D" w:rsidRPr="0024559F" w:rsidRDefault="0096542D" w:rsidP="00370583">
      <w:pPr>
        <w:pStyle w:val="textregular"/>
      </w:pPr>
    </w:p>
    <w:p w14:paraId="09F46097" w14:textId="47078780" w:rsidR="0073466A" w:rsidRPr="0024559F" w:rsidRDefault="0096542D" w:rsidP="00370583">
      <w:pPr>
        <w:pStyle w:val="textregular"/>
        <w:rPr>
          <w:i/>
        </w:rPr>
      </w:pPr>
      <w:r w:rsidRPr="0024559F">
        <w:rPr>
          <w:i/>
        </w:rPr>
        <w:t>Exclusive bids</w:t>
      </w:r>
    </w:p>
    <w:p w14:paraId="29888B16" w14:textId="05AE690D" w:rsidR="1413E2D0" w:rsidRPr="0024559F" w:rsidRDefault="00C0333E" w:rsidP="00FF71C7">
      <w:pPr>
        <w:jc w:val="both"/>
      </w:pPr>
      <w:r>
        <w:t xml:space="preserve">An alternative way to submit single bids with the possibility to use links to submit </w:t>
      </w:r>
      <w:r w:rsidR="00BA3591">
        <w:t>a set of exclusive bid groups, where only one of the groups</w:t>
      </w:r>
      <w:r>
        <w:t xml:space="preserve"> can be selected</w:t>
      </w:r>
      <w:r w:rsidR="00BA3591">
        <w:t xml:space="preserve"> by the algorithm</w:t>
      </w:r>
      <w:r>
        <w:t>.</w:t>
      </w:r>
      <w:r w:rsidR="00BA3591">
        <w:t xml:space="preserve"> Exclusive groups can contain</w:t>
      </w:r>
      <w:r w:rsidR="002A4542">
        <w:t xml:space="preserve"> other types of complex bids </w:t>
      </w:r>
      <w:r w:rsidR="00AF7D16">
        <w:t>–</w:t>
      </w:r>
      <w:r w:rsidR="002A4542">
        <w:t xml:space="preserve"> </w:t>
      </w:r>
      <w:r w:rsidR="00AF7D16">
        <w:t>block bids and joint linked bids.</w:t>
      </w:r>
      <w:r>
        <w:t xml:space="preserve"> This give</w:t>
      </w:r>
      <w:r w:rsidR="008468C8">
        <w:t>s</w:t>
      </w:r>
      <w:r>
        <w:t xml:space="preserve"> BSPs</w:t>
      </w:r>
      <w:r w:rsidR="0041068B">
        <w:t xml:space="preserve"> </w:t>
      </w:r>
      <w:r>
        <w:t xml:space="preserve">great flexibility </w:t>
      </w:r>
      <w:r w:rsidR="00D30E14">
        <w:t>in offering several competing products</w:t>
      </w:r>
      <w:r w:rsidR="004A60EB">
        <w:t xml:space="preserve"> from the same asset, or when </w:t>
      </w:r>
      <w:r w:rsidR="001F6394">
        <w:t xml:space="preserve">the supplier </w:t>
      </w:r>
      <w:r w:rsidR="006A7349">
        <w:t xml:space="preserve">is limited in terms of </w:t>
      </w:r>
      <w:r w:rsidR="00F77132">
        <w:t xml:space="preserve">the length of the delivery </w:t>
      </w:r>
      <w:r w:rsidR="00F77132">
        <w:t xml:space="preserve">period, but not </w:t>
      </w:r>
      <w:r w:rsidR="009853CF">
        <w:t>in terms of what time of day the delivery would be.</w:t>
      </w:r>
      <w:r w:rsidR="004C4E31">
        <w:t xml:space="preserve"> </w:t>
      </w:r>
      <w:r w:rsidR="00EB3AF2">
        <w:t>The total number of exclusive groups which can be submitted is limited.</w:t>
      </w:r>
    </w:p>
    <w:p w14:paraId="3CF0FA32" w14:textId="52C53C39" w:rsidR="1B3074D8" w:rsidRDefault="1B3074D8" w:rsidP="1B3074D8">
      <w:pPr>
        <w:jc w:val="both"/>
      </w:pPr>
    </w:p>
    <w:p w14:paraId="44EDE2D0" w14:textId="312B7A67" w:rsidR="1B3074D8" w:rsidRDefault="07216579" w:rsidP="1B3074D8">
      <w:pPr>
        <w:pStyle w:val="textregular"/>
        <w:rPr>
          <w:i/>
          <w:iCs/>
        </w:rPr>
      </w:pPr>
      <w:r w:rsidRPr="1B3074D8">
        <w:rPr>
          <w:i/>
          <w:iCs/>
        </w:rPr>
        <w:t>Quality limitations</w:t>
      </w:r>
    </w:p>
    <w:p w14:paraId="31ABA237" w14:textId="74975440" w:rsidR="07216579" w:rsidRDefault="07216579" w:rsidP="1B3074D8">
      <w:pPr>
        <w:pStyle w:val="textregular"/>
        <w:rPr>
          <w:i/>
          <w:iCs/>
        </w:rPr>
      </w:pPr>
      <w:r w:rsidRPr="1B3074D8">
        <w:rPr>
          <w:i/>
          <w:iCs/>
        </w:rPr>
        <w:t>BSPs can optionally specify these technical rest</w:t>
      </w:r>
      <w:r w:rsidR="70069D1A" w:rsidRPr="1B3074D8">
        <w:rPr>
          <w:i/>
          <w:iCs/>
        </w:rPr>
        <w:t>r</w:t>
      </w:r>
      <w:r w:rsidRPr="1B3074D8">
        <w:rPr>
          <w:i/>
          <w:iCs/>
        </w:rPr>
        <w:t>ictions: minimum resting time and maximum duration for aFRR and mFRR balancing capacity bids. Bids with the same minimum resting time and maximum duration can be linked together</w:t>
      </w:r>
      <w:r w:rsidR="397D5004" w:rsidRPr="1B3074D8">
        <w:rPr>
          <w:i/>
          <w:iCs/>
        </w:rPr>
        <w:t>, and this can be combined with both joint linked bids and exclusive bids.</w:t>
      </w:r>
      <w:r w:rsidR="0008215C">
        <w:rPr>
          <w:i/>
          <w:iCs/>
        </w:rPr>
        <w:t xml:space="preserve"> </w:t>
      </w:r>
      <w:r w:rsidR="0008215C" w:rsidRPr="1B3074D8">
        <w:rPr>
          <w:i/>
          <w:iCs/>
        </w:rPr>
        <w:t>This cannot be applied for block bids.</w:t>
      </w:r>
      <w:r w:rsidR="0008215C">
        <w:rPr>
          <w:i/>
          <w:iCs/>
        </w:rPr>
        <w:t xml:space="preserve"> </w:t>
      </w:r>
      <w:r w:rsidR="2B7F53A7" w:rsidRPr="1B3074D8">
        <w:rPr>
          <w:i/>
          <w:iCs/>
        </w:rPr>
        <w:t>In the selection of bids, the technical restrictions are respected for the whole group of bids.</w:t>
      </w:r>
      <w:r w:rsidR="397D5004" w:rsidRPr="1B3074D8">
        <w:rPr>
          <w:i/>
          <w:iCs/>
        </w:rPr>
        <w:t xml:space="preserve"> </w:t>
      </w:r>
    </w:p>
    <w:p w14:paraId="4F04484F" w14:textId="33C7C5E5" w:rsidR="1B3074D8" w:rsidRDefault="1B3074D8" w:rsidP="1B3074D8">
      <w:pPr>
        <w:jc w:val="both"/>
      </w:pPr>
    </w:p>
    <w:p w14:paraId="6B63A449" w14:textId="1F553405" w:rsidR="1B3074D8" w:rsidRDefault="1B3074D8" w:rsidP="1B3074D8">
      <w:pPr>
        <w:jc w:val="both"/>
      </w:pPr>
    </w:p>
    <w:p w14:paraId="2F5A6849" w14:textId="726284C0" w:rsidR="00370583" w:rsidRPr="0024559F" w:rsidRDefault="40175572" w:rsidP="00370583">
      <w:pPr>
        <w:pStyle w:val="headline1"/>
        <w:rPr>
          <w:lang w:val="en-GB"/>
        </w:rPr>
      </w:pPr>
      <w:bookmarkStart w:id="8" w:name="_Toc1026539435"/>
      <w:r w:rsidRPr="68683882">
        <w:rPr>
          <w:lang w:val="en-GB"/>
        </w:rPr>
        <w:t>Resources</w:t>
      </w:r>
      <w:bookmarkEnd w:id="8"/>
    </w:p>
    <w:p w14:paraId="3D3258D0" w14:textId="0DC253B6" w:rsidR="00A67DCD" w:rsidRPr="0024559F" w:rsidRDefault="00EE0E22" w:rsidP="00EE0E22">
      <w:pPr>
        <w:pStyle w:val="textregular"/>
      </w:pPr>
      <w:r w:rsidRPr="0024559F">
        <w:lastRenderedPageBreak/>
        <w:t xml:space="preserve">Baltic balancing capacity market design does not foresee exchange or sharing of reserves capacity with </w:t>
      </w:r>
      <w:r w:rsidR="00A513BB" w:rsidRPr="0024559F">
        <w:t>neighbouring</w:t>
      </w:r>
      <w:r w:rsidRPr="0024559F">
        <w:t xml:space="preserve"> areas outside Baltic bidding zones from the beginning of market operation, thus all dimensioned amounts of each type of reserves (FCR, aFRR and mFRR) shall be covered by reserve resources located in three Baltic bidding zones. Considering limited amount of resources in Baltics now and in near future, which was indicated in the market test results conducted by Baltic TSOs in 2021</w:t>
      </w:r>
      <w:r w:rsidR="00AC2CE2" w:rsidRPr="0024559F">
        <w:t>,</w:t>
      </w:r>
      <w:r w:rsidR="002960E6" w:rsidRPr="0024559F">
        <w:t xml:space="preserve"> </w:t>
      </w:r>
      <w:r w:rsidRPr="0024559F">
        <w:t>Baltic TSOs understand that in the situation with limited resources in Baltics and due to uncertainty brought by introduction of new types of reserves in the Baltic region, balancing capacity market design shall support usage of all possible available resources in Baltics – in terms of location, type (generation, consumption), size, composition (single technical units and groups)</w:t>
      </w:r>
      <w:r w:rsidR="1C7EC279" w:rsidRPr="0024559F">
        <w:t>,</w:t>
      </w:r>
      <w:r w:rsidRPr="0024559F">
        <w:t xml:space="preserve"> and ownership.</w:t>
      </w:r>
    </w:p>
    <w:p w14:paraId="62FD24FF" w14:textId="7E4C00BD" w:rsidR="00467A68" w:rsidRPr="0024559F" w:rsidRDefault="44D849B3" w:rsidP="00EE0E22">
      <w:pPr>
        <w:pStyle w:val="headline1"/>
        <w:numPr>
          <w:ilvl w:val="1"/>
          <w:numId w:val="9"/>
        </w:numPr>
        <w:rPr>
          <w:lang w:val="en-GB"/>
        </w:rPr>
      </w:pPr>
      <w:bookmarkStart w:id="9" w:name="_Toc1487508557"/>
      <w:r w:rsidRPr="68683882">
        <w:rPr>
          <w:lang w:val="en-GB"/>
        </w:rPr>
        <w:t>Types of resources</w:t>
      </w:r>
      <w:bookmarkEnd w:id="9"/>
    </w:p>
    <w:p w14:paraId="5B27FA35" w14:textId="26F6BEA9" w:rsidR="00EE0E22" w:rsidRPr="0024559F" w:rsidRDefault="00EE0E22" w:rsidP="00EE0E22">
      <w:pPr>
        <w:pStyle w:val="textregular"/>
      </w:pPr>
      <w:proofErr w:type="gramStart"/>
      <w:r w:rsidRPr="0024559F">
        <w:t>In order to</w:t>
      </w:r>
      <w:proofErr w:type="gramEnd"/>
      <w:r w:rsidRPr="0024559F">
        <w:t xml:space="preserve"> gain as much flexibility for usage of resources as possible, Baltic balancing capacity market design distinguish</w:t>
      </w:r>
      <w:r w:rsidR="4444260A" w:rsidRPr="0024559F">
        <w:t>es</w:t>
      </w:r>
      <w:r w:rsidRPr="0024559F">
        <w:t xml:space="preserve"> between two types of reserves in terms of their handling for optimization – primary and back-up resources. </w:t>
      </w:r>
    </w:p>
    <w:p w14:paraId="2D352D16" w14:textId="6B531667" w:rsidR="72846E3B" w:rsidRPr="0024559F" w:rsidRDefault="5B25AC11" w:rsidP="50055CF4">
      <w:pPr>
        <w:pStyle w:val="textregular"/>
        <w:spacing w:line="276" w:lineRule="auto"/>
      </w:pPr>
      <w:r w:rsidRPr="0024559F">
        <w:rPr>
          <w:b/>
          <w:bCs/>
        </w:rPr>
        <w:t>Demand reduction resources</w:t>
      </w:r>
      <w:r w:rsidRPr="0024559F">
        <w:t xml:space="preserve"> </w:t>
      </w:r>
      <w:r w:rsidR="4EFFC93F" w:rsidRPr="0024559F">
        <w:t>are reserves that the TSO employs as a means of alleviating anticipated reserve supply deficiencies</w:t>
      </w:r>
      <w:r w:rsidR="24C1A910" w:rsidRPr="0024559F">
        <w:t xml:space="preserve"> and ensuring the operational security</w:t>
      </w:r>
      <w:r w:rsidR="3D6635A6" w:rsidRPr="0024559F">
        <w:t xml:space="preserve"> of the Baltic</w:t>
      </w:r>
      <w:r w:rsidR="3546E9BC" w:rsidRPr="0024559F">
        <w:t xml:space="preserve"> electricity system</w:t>
      </w:r>
      <w:r w:rsidR="4EFFC93F" w:rsidRPr="0024559F">
        <w:t>.</w:t>
      </w:r>
      <w:r w:rsidR="0DA95B1D" w:rsidRPr="0024559F">
        <w:t xml:space="preserve"> </w:t>
      </w:r>
      <w:r w:rsidR="6968E109" w:rsidRPr="0024559F">
        <w:t>The</w:t>
      </w:r>
      <w:r w:rsidR="57622AF6" w:rsidRPr="0024559F">
        <w:t xml:space="preserve"> </w:t>
      </w:r>
      <w:r w:rsidR="6968E109" w:rsidRPr="0024559F">
        <w:t>balancing capacity</w:t>
      </w:r>
      <w:r w:rsidR="608CFCA3" w:rsidRPr="0024559F">
        <w:t xml:space="preserve"> amount</w:t>
      </w:r>
      <w:r w:rsidR="57622AF6" w:rsidRPr="0024559F">
        <w:t xml:space="preserve"> to be procured </w:t>
      </w:r>
      <w:r w:rsidR="658CDE25" w:rsidRPr="0024559F">
        <w:t>in the</w:t>
      </w:r>
      <w:r w:rsidR="57622AF6" w:rsidRPr="0024559F">
        <w:t xml:space="preserve"> Baltic balancing capacity</w:t>
      </w:r>
      <w:r w:rsidR="658CDE25" w:rsidRPr="0024559F">
        <w:t xml:space="preserve"> market</w:t>
      </w:r>
      <w:r w:rsidR="6968E109" w:rsidRPr="0024559F">
        <w:t xml:space="preserve"> </w:t>
      </w:r>
      <w:r w:rsidR="658CDE25" w:rsidRPr="0024559F">
        <w:t>shall be reduced</w:t>
      </w:r>
      <w:r w:rsidR="2D2391B1" w:rsidRPr="0024559F">
        <w:t xml:space="preserve"> by the demand reduction reserves</w:t>
      </w:r>
      <w:r w:rsidR="40BAF7F1" w:rsidRPr="0024559F">
        <w:t xml:space="preserve"> and cross-zonal capacity shall be allocated for sharing demand reduction resources between the Baltic TSOs</w:t>
      </w:r>
      <w:r w:rsidR="7331F7DC" w:rsidRPr="0024559F">
        <w:t>.</w:t>
      </w:r>
      <w:r w:rsidR="734B0AFB" w:rsidRPr="0024559F">
        <w:t xml:space="preserve"> The volume of demand reduction resources will be assessed by the relevant TSO and subject to NRA approval based on the capability to satisfy TSO demand with balancing capacity bids from primary resources.</w:t>
      </w:r>
      <w:r w:rsidR="0B29DD72" w:rsidRPr="0024559F">
        <w:t xml:space="preserve"> Essentially,</w:t>
      </w:r>
      <w:r w:rsidR="0213F10A" w:rsidRPr="0024559F">
        <w:t xml:space="preserve"> </w:t>
      </w:r>
      <w:r w:rsidR="5BFA218B" w:rsidRPr="0024559F">
        <w:t>a</w:t>
      </w:r>
      <w:r w:rsidR="4EFFC93F" w:rsidRPr="0024559F">
        <w:t xml:space="preserve">s the market grows and is observed to be capable of reasonably covering demand requirements, </w:t>
      </w:r>
      <w:r w:rsidR="6CB1B951" w:rsidRPr="0024559F">
        <w:t xml:space="preserve">it is expected that </w:t>
      </w:r>
      <w:r w:rsidR="545C2468" w:rsidRPr="0024559F">
        <w:t>d</w:t>
      </w:r>
      <w:r w:rsidR="4EFFC93F" w:rsidRPr="0024559F">
        <w:t xml:space="preserve">emand reduction resources </w:t>
      </w:r>
      <w:r w:rsidR="2DDCEE2A" w:rsidRPr="0024559F">
        <w:t xml:space="preserve">will not </w:t>
      </w:r>
      <w:r w:rsidR="5CCAE11A" w:rsidRPr="0024559F">
        <w:t>be used</w:t>
      </w:r>
      <w:r w:rsidR="2A1EFA96" w:rsidRPr="0024559F">
        <w:t xml:space="preserve"> </w:t>
      </w:r>
      <w:r w:rsidR="2DDCEE2A" w:rsidRPr="0024559F">
        <w:t>when TSO demand c</w:t>
      </w:r>
      <w:r w:rsidR="49CEC2A3" w:rsidRPr="0024559F">
        <w:t>an</w:t>
      </w:r>
      <w:r w:rsidR="2DDCEE2A" w:rsidRPr="0024559F">
        <w:t xml:space="preserve"> be satisfied with primary resources</w:t>
      </w:r>
      <w:r w:rsidR="59EA74B4" w:rsidRPr="0024559F">
        <w:t>.</w:t>
      </w:r>
      <w:r w:rsidR="02F2C9B8" w:rsidRPr="0024559F">
        <w:t xml:space="preserve"> </w:t>
      </w:r>
      <w:r w:rsidR="7BC186CC" w:rsidRPr="0024559F">
        <w:t>TSOs will not receive any renumeration for such resources</w:t>
      </w:r>
      <w:r w:rsidR="68840C47" w:rsidRPr="0024559F">
        <w:t>,</w:t>
      </w:r>
      <w:r w:rsidR="01E95284" w:rsidRPr="0024559F">
        <w:t xml:space="preserve"> which shall not be priced</w:t>
      </w:r>
      <w:r w:rsidR="6CC1CE04" w:rsidRPr="0024559F">
        <w:t>.</w:t>
      </w:r>
    </w:p>
    <w:p w14:paraId="27B69CA5" w14:textId="37D377F6" w:rsidR="00EE0E22" w:rsidRPr="0024559F" w:rsidRDefault="00EE0E22" w:rsidP="00EE0E22">
      <w:pPr>
        <w:pStyle w:val="textregular"/>
      </w:pPr>
      <w:r w:rsidRPr="0024559F">
        <w:rPr>
          <w:b/>
        </w:rPr>
        <w:t>Primary resources</w:t>
      </w:r>
      <w:r w:rsidRPr="0024559F">
        <w:t xml:space="preserve"> are reserves which shall </w:t>
      </w:r>
      <w:r w:rsidR="00705E76" w:rsidRPr="0024559F">
        <w:t xml:space="preserve">be used </w:t>
      </w:r>
      <w:r w:rsidR="00341E20" w:rsidRPr="0024559F">
        <w:t>under normal conditions, without any special restrictions,</w:t>
      </w:r>
      <w:r w:rsidRPr="0024559F">
        <w:t xml:space="preserve"> to cover </w:t>
      </w:r>
      <w:r w:rsidR="00F9758F" w:rsidRPr="0024559F">
        <w:t xml:space="preserve">FCR and FRR </w:t>
      </w:r>
      <w:r w:rsidRPr="0024559F">
        <w:t>reserve requirements in Baltic bidding zones.</w:t>
      </w:r>
      <w:r w:rsidR="003E7A4C" w:rsidRPr="0024559F">
        <w:t xml:space="preserve"> All bids provided by Baltic balancing capacity market participants from reserve resources located in any of Baltic bidding zones, shall be used as primary resources.</w:t>
      </w:r>
    </w:p>
    <w:p w14:paraId="1C846912" w14:textId="34FCB81A" w:rsidR="00D33DAF" w:rsidRPr="0024559F" w:rsidRDefault="00EE0E22" w:rsidP="003E7A4C">
      <w:pPr>
        <w:pStyle w:val="textregular"/>
      </w:pPr>
      <w:r w:rsidRPr="0024559F">
        <w:rPr>
          <w:b/>
        </w:rPr>
        <w:t>Back-up resources</w:t>
      </w:r>
      <w:r w:rsidRPr="0024559F">
        <w:t xml:space="preserve"> </w:t>
      </w:r>
      <w:r w:rsidR="00831D39" w:rsidRPr="0024559F">
        <w:t>c</w:t>
      </w:r>
      <w:r w:rsidR="00916DB1" w:rsidRPr="0024559F">
        <w:t>an only be used in the</w:t>
      </w:r>
      <w:r w:rsidRPr="0024559F">
        <w:t xml:space="preserve"> case it is not possible to cover </w:t>
      </w:r>
      <w:r w:rsidR="00774286" w:rsidRPr="0024559F">
        <w:t xml:space="preserve">FCR and FRR </w:t>
      </w:r>
      <w:r w:rsidRPr="0024559F">
        <w:t>reserve requirements in Baltic bidding zones by primary reserves even after increase of CZC to its maximum level.</w:t>
      </w:r>
      <w:r w:rsidR="003E7A4C" w:rsidRPr="0024559F">
        <w:t xml:space="preserve"> There could be resources owned, procured or in other way available for Baltic TSOs, which may be used as back-up resources. </w:t>
      </w:r>
    </w:p>
    <w:p w14:paraId="6C10C43D" w14:textId="7C27F732" w:rsidR="003E7A4C" w:rsidRPr="0024559F" w:rsidRDefault="003E7A4C" w:rsidP="003E7A4C">
      <w:pPr>
        <w:pStyle w:val="textregular"/>
      </w:pPr>
      <w:r>
        <w:t>Use of resources available for TSOs as primary or back-up resources is determined by each TSO in accordance with European and National regulations and guidelines.</w:t>
      </w:r>
    </w:p>
    <w:p w14:paraId="76A091D8" w14:textId="48CFED2E" w:rsidR="1B74475E" w:rsidRDefault="1B74475E" w:rsidP="1B74475E">
      <w:pPr>
        <w:pStyle w:val="textregular"/>
      </w:pPr>
    </w:p>
    <w:tbl>
      <w:tblPr>
        <w:tblW w:w="0" w:type="auto"/>
        <w:tblLayout w:type="fixed"/>
        <w:tblLook w:val="06A0" w:firstRow="1" w:lastRow="0" w:firstColumn="1" w:lastColumn="0" w:noHBand="1" w:noVBand="1"/>
      </w:tblPr>
      <w:tblGrid>
        <w:gridCol w:w="3486"/>
        <w:gridCol w:w="1815"/>
        <w:gridCol w:w="2513"/>
        <w:gridCol w:w="1696"/>
      </w:tblGrid>
      <w:tr w:rsidR="1B74475E" w14:paraId="6846B238" w14:textId="77777777" w:rsidTr="5C5F867D">
        <w:trPr>
          <w:trHeight w:val="300"/>
        </w:trPr>
        <w:tc>
          <w:tcPr>
            <w:tcW w:w="9510" w:type="dxa"/>
            <w:gridSpan w:val="4"/>
            <w:tcBorders>
              <w:top w:val="nil"/>
              <w:left w:val="nil"/>
              <w:right w:val="single" w:sz="8" w:space="0" w:color="000000" w:themeColor="text1"/>
            </w:tcBorders>
            <w:tcMar>
              <w:top w:w="15" w:type="dxa"/>
              <w:left w:w="15" w:type="dxa"/>
              <w:right w:w="15" w:type="dxa"/>
            </w:tcMar>
            <w:vAlign w:val="center"/>
          </w:tcPr>
          <w:p w14:paraId="5FD67E1C" w14:textId="128A618D" w:rsidR="3583342E" w:rsidRDefault="3583342E" w:rsidP="5C5F867D">
            <w:pPr>
              <w:jc w:val="center"/>
            </w:pPr>
            <w:r>
              <w:t>Table of resource types</w:t>
            </w:r>
          </w:p>
        </w:tc>
      </w:tr>
      <w:tr w:rsidR="1B74475E" w14:paraId="00EE93E4" w14:textId="77777777" w:rsidTr="5C5F867D">
        <w:trPr>
          <w:trHeight w:val="300"/>
        </w:trPr>
        <w:tc>
          <w:tcPr>
            <w:tcW w:w="3486" w:type="dxa"/>
            <w:tcBorders>
              <w:top w:val="nil"/>
              <w:left w:val="nil"/>
              <w:bottom w:val="nil"/>
              <w:right w:val="nil"/>
            </w:tcBorders>
            <w:tcMar>
              <w:top w:w="15" w:type="dxa"/>
              <w:left w:w="15" w:type="dxa"/>
              <w:right w:w="15" w:type="dxa"/>
            </w:tcMar>
            <w:vAlign w:val="bottom"/>
          </w:tcPr>
          <w:p w14:paraId="7C081329" w14:textId="6892309C" w:rsidR="1B74475E" w:rsidRDefault="1B74475E" w:rsidP="5C5F867D">
            <w:pPr>
              <w:rPr>
                <w:rFonts w:eastAsiaTheme="minorEastAsia"/>
              </w:rPr>
            </w:pPr>
          </w:p>
        </w:tc>
        <w:tc>
          <w:tcPr>
            <w:tcW w:w="1815" w:type="dxa"/>
            <w:tcBorders>
              <w:top w:val="single" w:sz="8" w:space="0" w:color="auto"/>
              <w:left w:val="single" w:sz="8" w:space="0" w:color="auto"/>
              <w:bottom w:val="nil"/>
              <w:right w:val="single" w:sz="4" w:space="0" w:color="auto"/>
            </w:tcBorders>
            <w:tcMar>
              <w:top w:w="15" w:type="dxa"/>
              <w:left w:w="15" w:type="dxa"/>
              <w:right w:w="15" w:type="dxa"/>
            </w:tcMar>
            <w:vAlign w:val="center"/>
          </w:tcPr>
          <w:p w14:paraId="4FB5A115" w14:textId="7A98116E" w:rsidR="1B74475E" w:rsidRDefault="1B74475E" w:rsidP="5C5F867D">
            <w:pPr>
              <w:jc w:val="center"/>
              <w:rPr>
                <w:rFonts w:eastAsiaTheme="minorEastAsia"/>
                <w:color w:val="000000" w:themeColor="text1"/>
              </w:rPr>
            </w:pPr>
            <w:r w:rsidRPr="5C5F867D">
              <w:rPr>
                <w:rFonts w:eastAsiaTheme="minorEastAsia"/>
                <w:color w:val="000000" w:themeColor="text1"/>
              </w:rPr>
              <w:t>Primary resources</w:t>
            </w:r>
          </w:p>
        </w:tc>
        <w:tc>
          <w:tcPr>
            <w:tcW w:w="2513" w:type="dxa"/>
            <w:tcBorders>
              <w:top w:val="single" w:sz="8" w:space="0" w:color="auto"/>
              <w:left w:val="single" w:sz="4" w:space="0" w:color="auto"/>
              <w:bottom w:val="nil"/>
              <w:right w:val="single" w:sz="4" w:space="0" w:color="auto"/>
            </w:tcBorders>
            <w:tcMar>
              <w:top w:w="15" w:type="dxa"/>
              <w:left w:w="15" w:type="dxa"/>
              <w:right w:w="15" w:type="dxa"/>
            </w:tcMar>
            <w:vAlign w:val="center"/>
          </w:tcPr>
          <w:p w14:paraId="17531946" w14:textId="7B40E16D" w:rsidR="1B74475E" w:rsidRDefault="1B74475E" w:rsidP="5C5F867D">
            <w:pPr>
              <w:jc w:val="center"/>
              <w:rPr>
                <w:rFonts w:eastAsiaTheme="minorEastAsia"/>
                <w:color w:val="000000" w:themeColor="text1"/>
              </w:rPr>
            </w:pPr>
            <w:r w:rsidRPr="5C5F867D">
              <w:rPr>
                <w:rFonts w:eastAsiaTheme="minorEastAsia"/>
                <w:color w:val="000000" w:themeColor="text1"/>
              </w:rPr>
              <w:t>Demand reduction resources</w:t>
            </w:r>
          </w:p>
        </w:tc>
        <w:tc>
          <w:tcPr>
            <w:tcW w:w="1696" w:type="dxa"/>
            <w:tcBorders>
              <w:top w:val="single" w:sz="8" w:space="0" w:color="auto"/>
              <w:left w:val="single" w:sz="4" w:space="0" w:color="auto"/>
              <w:bottom w:val="nil"/>
              <w:right w:val="single" w:sz="8" w:space="0" w:color="auto"/>
            </w:tcBorders>
            <w:tcMar>
              <w:top w:w="15" w:type="dxa"/>
              <w:left w:w="15" w:type="dxa"/>
              <w:right w:w="15" w:type="dxa"/>
            </w:tcMar>
            <w:vAlign w:val="center"/>
          </w:tcPr>
          <w:p w14:paraId="333F758F" w14:textId="3BA2A190" w:rsidR="1B74475E" w:rsidRDefault="1B74475E" w:rsidP="5C5F867D">
            <w:pPr>
              <w:jc w:val="center"/>
              <w:rPr>
                <w:rFonts w:eastAsiaTheme="minorEastAsia"/>
                <w:color w:val="000000" w:themeColor="text1"/>
              </w:rPr>
            </w:pPr>
            <w:r w:rsidRPr="5C5F867D">
              <w:rPr>
                <w:rFonts w:eastAsiaTheme="minorEastAsia"/>
                <w:color w:val="000000" w:themeColor="text1"/>
              </w:rPr>
              <w:t>Back-up resources</w:t>
            </w:r>
          </w:p>
        </w:tc>
      </w:tr>
      <w:tr w:rsidR="1B74475E" w14:paraId="0DFE2DCA" w14:textId="77777777" w:rsidTr="5C5F867D">
        <w:trPr>
          <w:trHeight w:val="285"/>
        </w:trPr>
        <w:tc>
          <w:tcPr>
            <w:tcW w:w="3486" w:type="dxa"/>
            <w:tcBorders>
              <w:top w:val="single" w:sz="8" w:space="0" w:color="auto"/>
              <w:left w:val="single" w:sz="8" w:space="0" w:color="auto"/>
              <w:bottom w:val="single" w:sz="4" w:space="0" w:color="auto"/>
              <w:right w:val="nil"/>
            </w:tcBorders>
            <w:tcMar>
              <w:top w:w="15" w:type="dxa"/>
              <w:left w:w="15" w:type="dxa"/>
              <w:right w:w="15" w:type="dxa"/>
            </w:tcMar>
            <w:vAlign w:val="center"/>
          </w:tcPr>
          <w:p w14:paraId="18F6DD67" w14:textId="07A512B4" w:rsidR="1B74475E" w:rsidRDefault="1B74475E" w:rsidP="5C5F867D">
            <w:pPr>
              <w:jc w:val="center"/>
              <w:rPr>
                <w:rFonts w:eastAsiaTheme="minorEastAsia"/>
                <w:color w:val="000000" w:themeColor="text1"/>
              </w:rPr>
            </w:pPr>
            <w:r w:rsidRPr="5C5F867D">
              <w:rPr>
                <w:rFonts w:eastAsiaTheme="minorEastAsia"/>
                <w:color w:val="000000" w:themeColor="text1"/>
              </w:rPr>
              <w:t>Ownership</w:t>
            </w:r>
          </w:p>
        </w:tc>
        <w:tc>
          <w:tcPr>
            <w:tcW w:w="1815" w:type="dxa"/>
            <w:tcBorders>
              <w:top w:val="single" w:sz="8" w:space="0" w:color="auto"/>
              <w:left w:val="single" w:sz="8" w:space="0" w:color="auto"/>
              <w:bottom w:val="single" w:sz="4" w:space="0" w:color="auto"/>
              <w:right w:val="single" w:sz="4" w:space="0" w:color="auto"/>
            </w:tcBorders>
            <w:tcMar>
              <w:top w:w="15" w:type="dxa"/>
              <w:left w:w="15" w:type="dxa"/>
              <w:right w:w="15" w:type="dxa"/>
            </w:tcMar>
            <w:vAlign w:val="center"/>
          </w:tcPr>
          <w:p w14:paraId="5A6AA724" w14:textId="0CAEE182" w:rsidR="1B74475E" w:rsidRDefault="1B74475E" w:rsidP="5C5F867D">
            <w:pPr>
              <w:jc w:val="center"/>
              <w:rPr>
                <w:rFonts w:eastAsiaTheme="minorEastAsia"/>
                <w:color w:val="000000" w:themeColor="text1"/>
              </w:rPr>
            </w:pPr>
            <w:r w:rsidRPr="5C5F867D">
              <w:rPr>
                <w:rFonts w:eastAsiaTheme="minorEastAsia"/>
                <w:color w:val="000000" w:themeColor="text1"/>
              </w:rPr>
              <w:t>BSP</w:t>
            </w:r>
          </w:p>
        </w:tc>
        <w:tc>
          <w:tcPr>
            <w:tcW w:w="2513"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14:paraId="0201655E" w14:textId="74E2F1B8" w:rsidR="1B74475E" w:rsidRDefault="1B74475E" w:rsidP="5C5F867D">
            <w:pPr>
              <w:jc w:val="center"/>
              <w:rPr>
                <w:rFonts w:eastAsiaTheme="minorEastAsia"/>
                <w:color w:val="000000" w:themeColor="text1"/>
              </w:rPr>
            </w:pPr>
            <w:r w:rsidRPr="5C5F867D">
              <w:rPr>
                <w:rFonts w:eastAsiaTheme="minorEastAsia"/>
                <w:color w:val="000000" w:themeColor="text1"/>
              </w:rPr>
              <w:t>TSO</w:t>
            </w:r>
          </w:p>
        </w:tc>
        <w:tc>
          <w:tcPr>
            <w:tcW w:w="1696" w:type="dxa"/>
            <w:tcBorders>
              <w:top w:val="single" w:sz="8" w:space="0" w:color="auto"/>
              <w:left w:val="single" w:sz="4" w:space="0" w:color="auto"/>
              <w:bottom w:val="single" w:sz="4" w:space="0" w:color="auto"/>
              <w:right w:val="single" w:sz="8" w:space="0" w:color="auto"/>
            </w:tcBorders>
            <w:tcMar>
              <w:top w:w="15" w:type="dxa"/>
              <w:left w:w="15" w:type="dxa"/>
              <w:right w:w="15" w:type="dxa"/>
            </w:tcMar>
            <w:vAlign w:val="center"/>
          </w:tcPr>
          <w:p w14:paraId="03348632" w14:textId="2359355F" w:rsidR="1B74475E" w:rsidRDefault="1B74475E" w:rsidP="5C5F867D">
            <w:pPr>
              <w:jc w:val="center"/>
              <w:rPr>
                <w:rFonts w:eastAsiaTheme="minorEastAsia"/>
                <w:color w:val="000000" w:themeColor="text1"/>
              </w:rPr>
            </w:pPr>
            <w:r w:rsidRPr="5C5F867D">
              <w:rPr>
                <w:rFonts w:eastAsiaTheme="minorEastAsia"/>
                <w:color w:val="000000" w:themeColor="text1"/>
              </w:rPr>
              <w:t>TSO</w:t>
            </w:r>
          </w:p>
        </w:tc>
      </w:tr>
      <w:tr w:rsidR="1B74475E" w14:paraId="3F7EE465" w14:textId="77777777" w:rsidTr="5C5F867D">
        <w:trPr>
          <w:trHeight w:val="285"/>
        </w:trPr>
        <w:tc>
          <w:tcPr>
            <w:tcW w:w="3486" w:type="dxa"/>
            <w:tcBorders>
              <w:top w:val="single" w:sz="4" w:space="0" w:color="auto"/>
              <w:left w:val="single" w:sz="8" w:space="0" w:color="auto"/>
              <w:bottom w:val="single" w:sz="4" w:space="0" w:color="auto"/>
              <w:right w:val="nil"/>
            </w:tcBorders>
            <w:tcMar>
              <w:top w:w="15" w:type="dxa"/>
              <w:left w:w="15" w:type="dxa"/>
              <w:right w:w="15" w:type="dxa"/>
            </w:tcMar>
            <w:vAlign w:val="center"/>
          </w:tcPr>
          <w:p w14:paraId="409FDD20" w14:textId="602C743D" w:rsidR="1B74475E" w:rsidRDefault="1B74475E" w:rsidP="5C5F867D">
            <w:pPr>
              <w:jc w:val="center"/>
              <w:rPr>
                <w:rFonts w:eastAsiaTheme="minorEastAsia"/>
                <w:color w:val="000000" w:themeColor="text1"/>
              </w:rPr>
            </w:pPr>
            <w:r w:rsidRPr="5C5F867D">
              <w:rPr>
                <w:rFonts w:eastAsiaTheme="minorEastAsia"/>
                <w:color w:val="000000" w:themeColor="text1"/>
              </w:rPr>
              <w:t>Prequalification necessary</w:t>
            </w:r>
          </w:p>
        </w:tc>
        <w:tc>
          <w:tcPr>
            <w:tcW w:w="1815"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5BA05B70" w14:textId="59DE2FE5" w:rsidR="1B74475E" w:rsidRDefault="1B74475E" w:rsidP="5C5F867D">
            <w:pPr>
              <w:jc w:val="center"/>
              <w:rPr>
                <w:rFonts w:eastAsiaTheme="minorEastAsia"/>
                <w:color w:val="000000" w:themeColor="text1"/>
              </w:rPr>
            </w:pPr>
            <w:r w:rsidRPr="5C5F867D">
              <w:rPr>
                <w:rFonts w:eastAsiaTheme="minorEastAsia"/>
                <w:color w:val="000000" w:themeColor="text1"/>
              </w:rPr>
              <w:t>Yes</w:t>
            </w:r>
          </w:p>
        </w:tc>
        <w:tc>
          <w:tcPr>
            <w:tcW w:w="25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98E623D" w14:textId="569D4B7E" w:rsidR="1B74475E" w:rsidRDefault="1B74475E" w:rsidP="5C5F867D">
            <w:pPr>
              <w:jc w:val="center"/>
              <w:rPr>
                <w:rFonts w:eastAsiaTheme="minorEastAsia"/>
                <w:color w:val="000000" w:themeColor="text1"/>
              </w:rPr>
            </w:pPr>
            <w:r w:rsidRPr="5C5F867D">
              <w:rPr>
                <w:rFonts w:eastAsiaTheme="minorEastAsia"/>
                <w:color w:val="000000" w:themeColor="text1"/>
              </w:rPr>
              <w:t>Yes</w:t>
            </w:r>
          </w:p>
        </w:tc>
        <w:tc>
          <w:tcPr>
            <w:tcW w:w="1696"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59E289E8" w14:textId="0A7AC281" w:rsidR="1B74475E" w:rsidRDefault="1B74475E" w:rsidP="5C5F867D">
            <w:pPr>
              <w:jc w:val="center"/>
              <w:rPr>
                <w:rFonts w:eastAsiaTheme="minorEastAsia"/>
                <w:color w:val="000000" w:themeColor="text1"/>
              </w:rPr>
            </w:pPr>
            <w:r w:rsidRPr="5C5F867D">
              <w:rPr>
                <w:rFonts w:eastAsiaTheme="minorEastAsia"/>
                <w:color w:val="000000" w:themeColor="text1"/>
              </w:rPr>
              <w:t>Yes</w:t>
            </w:r>
          </w:p>
        </w:tc>
      </w:tr>
      <w:tr w:rsidR="1B74475E" w14:paraId="40B967E4" w14:textId="77777777" w:rsidTr="5C5F867D">
        <w:trPr>
          <w:trHeight w:val="285"/>
        </w:trPr>
        <w:tc>
          <w:tcPr>
            <w:tcW w:w="3486" w:type="dxa"/>
            <w:tcBorders>
              <w:top w:val="single" w:sz="4" w:space="0" w:color="auto"/>
              <w:left w:val="single" w:sz="8" w:space="0" w:color="auto"/>
              <w:bottom w:val="single" w:sz="4" w:space="0" w:color="auto"/>
              <w:right w:val="nil"/>
            </w:tcBorders>
            <w:tcMar>
              <w:top w:w="15" w:type="dxa"/>
              <w:left w:w="15" w:type="dxa"/>
              <w:right w:w="15" w:type="dxa"/>
            </w:tcMar>
            <w:vAlign w:val="center"/>
          </w:tcPr>
          <w:p w14:paraId="66319401" w14:textId="517D375B" w:rsidR="1B74475E" w:rsidRDefault="1B74475E" w:rsidP="5C5F867D">
            <w:pPr>
              <w:jc w:val="center"/>
              <w:rPr>
                <w:rFonts w:eastAsiaTheme="minorEastAsia"/>
                <w:color w:val="000000" w:themeColor="text1"/>
              </w:rPr>
            </w:pPr>
            <w:r w:rsidRPr="5C5F867D">
              <w:rPr>
                <w:rFonts w:eastAsiaTheme="minorEastAsia"/>
                <w:color w:val="000000" w:themeColor="text1"/>
              </w:rPr>
              <w:t>Participation in optimization rounds</w:t>
            </w:r>
          </w:p>
        </w:tc>
        <w:tc>
          <w:tcPr>
            <w:tcW w:w="1815"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125E76D5" w14:textId="40307034" w:rsidR="1B74475E" w:rsidRDefault="1B74475E" w:rsidP="5C5F867D">
            <w:pPr>
              <w:jc w:val="center"/>
              <w:rPr>
                <w:rFonts w:eastAsiaTheme="minorEastAsia"/>
                <w:color w:val="000000" w:themeColor="text1"/>
              </w:rPr>
            </w:pPr>
            <w:r w:rsidRPr="5C5F867D">
              <w:rPr>
                <w:rFonts w:eastAsiaTheme="minorEastAsia"/>
                <w:color w:val="000000" w:themeColor="text1"/>
              </w:rPr>
              <w:t>1a, 1b, 1c</w:t>
            </w:r>
          </w:p>
        </w:tc>
        <w:tc>
          <w:tcPr>
            <w:tcW w:w="25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BEE07F3" w14:textId="4F2E6DB0" w:rsidR="1B74475E" w:rsidRDefault="1B74475E" w:rsidP="5C5F867D">
            <w:pPr>
              <w:jc w:val="center"/>
              <w:rPr>
                <w:rFonts w:eastAsiaTheme="minorEastAsia"/>
                <w:color w:val="000000" w:themeColor="text1"/>
              </w:rPr>
            </w:pPr>
            <w:r w:rsidRPr="5C5F867D">
              <w:rPr>
                <w:rFonts w:eastAsiaTheme="minorEastAsia"/>
                <w:color w:val="000000" w:themeColor="text1"/>
              </w:rPr>
              <w:t>1a, 1b, 1c</w:t>
            </w:r>
          </w:p>
        </w:tc>
        <w:tc>
          <w:tcPr>
            <w:tcW w:w="1696"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2D62DE2B" w14:textId="728DA3C7" w:rsidR="1B74475E" w:rsidRDefault="1B74475E" w:rsidP="5C5F867D">
            <w:pPr>
              <w:jc w:val="center"/>
              <w:rPr>
                <w:rFonts w:eastAsiaTheme="minorEastAsia"/>
                <w:color w:val="000000" w:themeColor="text1"/>
              </w:rPr>
            </w:pPr>
            <w:r w:rsidRPr="5C5F867D">
              <w:rPr>
                <w:rFonts w:eastAsiaTheme="minorEastAsia"/>
                <w:color w:val="000000" w:themeColor="text1"/>
              </w:rPr>
              <w:t>1c</w:t>
            </w:r>
          </w:p>
        </w:tc>
      </w:tr>
      <w:tr w:rsidR="1B74475E" w14:paraId="326C879B" w14:textId="77777777" w:rsidTr="5C5F867D">
        <w:trPr>
          <w:trHeight w:val="285"/>
        </w:trPr>
        <w:tc>
          <w:tcPr>
            <w:tcW w:w="3486" w:type="dxa"/>
            <w:tcBorders>
              <w:top w:val="single" w:sz="4" w:space="0" w:color="auto"/>
              <w:left w:val="single" w:sz="8" w:space="0" w:color="auto"/>
              <w:bottom w:val="single" w:sz="4" w:space="0" w:color="auto"/>
              <w:right w:val="nil"/>
            </w:tcBorders>
            <w:tcMar>
              <w:top w:w="15" w:type="dxa"/>
              <w:left w:w="15" w:type="dxa"/>
              <w:right w:w="15" w:type="dxa"/>
            </w:tcMar>
            <w:vAlign w:val="center"/>
          </w:tcPr>
          <w:p w14:paraId="4DEBBC79" w14:textId="4D4A2243" w:rsidR="1B74475E" w:rsidRDefault="1B74475E" w:rsidP="5C5F867D">
            <w:pPr>
              <w:jc w:val="center"/>
              <w:rPr>
                <w:rFonts w:eastAsiaTheme="minorEastAsia"/>
                <w:color w:val="000000" w:themeColor="text1"/>
              </w:rPr>
            </w:pPr>
            <w:r w:rsidRPr="5C5F867D">
              <w:rPr>
                <w:rFonts w:eastAsiaTheme="minorEastAsia"/>
                <w:color w:val="000000" w:themeColor="text1"/>
              </w:rPr>
              <w:t>Sets marginal price when selected last</w:t>
            </w:r>
          </w:p>
        </w:tc>
        <w:tc>
          <w:tcPr>
            <w:tcW w:w="1815"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62479F41" w14:textId="3A3E9CE5" w:rsidR="1B74475E" w:rsidRDefault="1B74475E" w:rsidP="5C5F867D">
            <w:pPr>
              <w:jc w:val="center"/>
              <w:rPr>
                <w:rFonts w:eastAsiaTheme="minorEastAsia"/>
                <w:color w:val="000000" w:themeColor="text1"/>
              </w:rPr>
            </w:pPr>
            <w:r w:rsidRPr="5C5F867D">
              <w:rPr>
                <w:rFonts w:eastAsiaTheme="minorEastAsia"/>
                <w:color w:val="000000" w:themeColor="text1"/>
              </w:rPr>
              <w:t>Yes</w:t>
            </w:r>
          </w:p>
        </w:tc>
        <w:tc>
          <w:tcPr>
            <w:tcW w:w="25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ED902AD" w14:textId="4D6CFCA7" w:rsidR="1B74475E" w:rsidRDefault="1B74475E" w:rsidP="5C5F867D">
            <w:pPr>
              <w:jc w:val="center"/>
              <w:rPr>
                <w:rFonts w:eastAsiaTheme="minorEastAsia"/>
                <w:color w:val="000000" w:themeColor="text1"/>
              </w:rPr>
            </w:pPr>
            <w:r w:rsidRPr="5C5F867D">
              <w:rPr>
                <w:rFonts w:eastAsiaTheme="minorEastAsia"/>
                <w:color w:val="000000" w:themeColor="text1"/>
              </w:rPr>
              <w:t>0 €/MW/h</w:t>
            </w:r>
          </w:p>
        </w:tc>
        <w:tc>
          <w:tcPr>
            <w:tcW w:w="1696"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476B4F22" w14:textId="0A834232" w:rsidR="1B74475E" w:rsidRDefault="1B74475E" w:rsidP="002F7A22">
            <w:pPr>
              <w:jc w:val="center"/>
              <w:rPr>
                <w:rFonts w:eastAsiaTheme="minorEastAsia"/>
                <w:color w:val="000000" w:themeColor="text1"/>
              </w:rPr>
            </w:pPr>
            <w:r w:rsidRPr="5C5F867D">
              <w:rPr>
                <w:rFonts w:eastAsiaTheme="minorEastAsia"/>
                <w:color w:val="000000" w:themeColor="text1"/>
              </w:rPr>
              <w:t>No</w:t>
            </w:r>
          </w:p>
        </w:tc>
      </w:tr>
      <w:tr w:rsidR="1B74475E" w14:paraId="5A844350" w14:textId="77777777" w:rsidTr="5C5F867D">
        <w:trPr>
          <w:trHeight w:val="300"/>
        </w:trPr>
        <w:tc>
          <w:tcPr>
            <w:tcW w:w="3486" w:type="dxa"/>
            <w:tcBorders>
              <w:top w:val="single" w:sz="4" w:space="0" w:color="auto"/>
              <w:left w:val="single" w:sz="8" w:space="0" w:color="auto"/>
              <w:bottom w:val="single" w:sz="4" w:space="0" w:color="auto"/>
              <w:right w:val="nil"/>
            </w:tcBorders>
            <w:tcMar>
              <w:top w:w="15" w:type="dxa"/>
              <w:left w:w="15" w:type="dxa"/>
              <w:right w:w="15" w:type="dxa"/>
            </w:tcMar>
            <w:vAlign w:val="center"/>
          </w:tcPr>
          <w:p w14:paraId="4583A487" w14:textId="58CA26E2" w:rsidR="1B74475E" w:rsidRPr="002F7A22" w:rsidRDefault="1B74475E" w:rsidP="5C5F867D">
            <w:pPr>
              <w:jc w:val="center"/>
              <w:rPr>
                <w:rFonts w:eastAsiaTheme="minorEastAsia"/>
                <w:color w:val="000000" w:themeColor="text1"/>
              </w:rPr>
            </w:pPr>
            <w:r w:rsidRPr="5C5F867D">
              <w:rPr>
                <w:rFonts w:eastAsiaTheme="minorEastAsia"/>
                <w:color w:val="000000" w:themeColor="text1"/>
              </w:rPr>
              <w:t>Renumeration</w:t>
            </w:r>
          </w:p>
        </w:tc>
        <w:tc>
          <w:tcPr>
            <w:tcW w:w="1815"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0428D9D9" w14:textId="6F0718C9" w:rsidR="1B74475E" w:rsidRPr="002F7A22" w:rsidRDefault="1B74475E" w:rsidP="5C5F867D">
            <w:pPr>
              <w:jc w:val="center"/>
              <w:rPr>
                <w:rFonts w:eastAsiaTheme="minorEastAsia"/>
                <w:color w:val="000000" w:themeColor="text1"/>
              </w:rPr>
            </w:pPr>
            <w:r w:rsidRPr="5C5F867D">
              <w:rPr>
                <w:rFonts w:eastAsiaTheme="minorEastAsia"/>
                <w:color w:val="000000" w:themeColor="text1"/>
              </w:rPr>
              <w:t>Marginal price cost based</w:t>
            </w:r>
          </w:p>
        </w:tc>
        <w:tc>
          <w:tcPr>
            <w:tcW w:w="25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9BBB366" w14:textId="29F04CE9" w:rsidR="1B74475E" w:rsidRDefault="1B74475E" w:rsidP="5C5F867D">
            <w:pPr>
              <w:jc w:val="center"/>
              <w:rPr>
                <w:rFonts w:eastAsiaTheme="minorEastAsia"/>
                <w:color w:val="000000" w:themeColor="text1"/>
              </w:rPr>
            </w:pPr>
            <w:r w:rsidRPr="5C5F867D">
              <w:rPr>
                <w:rFonts w:eastAsiaTheme="minorEastAsia"/>
                <w:color w:val="000000" w:themeColor="text1"/>
              </w:rPr>
              <w:t>No</w:t>
            </w:r>
          </w:p>
        </w:tc>
        <w:tc>
          <w:tcPr>
            <w:tcW w:w="1696"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51C9A2EF" w14:textId="38BF806B" w:rsidR="1B74475E" w:rsidRPr="002F7A22" w:rsidRDefault="1B74475E" w:rsidP="5C5F867D">
            <w:pPr>
              <w:jc w:val="center"/>
              <w:rPr>
                <w:rFonts w:eastAsiaTheme="minorEastAsia"/>
                <w:color w:val="000000" w:themeColor="text1"/>
              </w:rPr>
            </w:pPr>
            <w:r w:rsidRPr="5C5F867D">
              <w:rPr>
                <w:rFonts w:eastAsiaTheme="minorEastAsia"/>
                <w:color w:val="000000" w:themeColor="text1"/>
              </w:rPr>
              <w:t xml:space="preserve"> Operational cost based</w:t>
            </w:r>
          </w:p>
        </w:tc>
      </w:tr>
    </w:tbl>
    <w:p w14:paraId="749ED8DD" w14:textId="3BD19CF5" w:rsidR="1B74475E" w:rsidRDefault="1B74475E" w:rsidP="1B74475E">
      <w:pPr>
        <w:pStyle w:val="textregular"/>
      </w:pPr>
    </w:p>
    <w:p w14:paraId="7B72BB6F" w14:textId="57B35D33" w:rsidR="000D7A78" w:rsidRPr="0024559F" w:rsidRDefault="000D7A78" w:rsidP="68683882">
      <w:pPr>
        <w:pStyle w:val="headline1"/>
        <w:numPr>
          <w:ilvl w:val="1"/>
          <w:numId w:val="9"/>
        </w:numPr>
        <w:rPr>
          <w:rFonts w:eastAsiaTheme="minorEastAsia"/>
          <w:lang w:val="en-GB"/>
        </w:rPr>
      </w:pPr>
      <w:bookmarkStart w:id="10" w:name="_Toc321121232"/>
      <w:r w:rsidRPr="68683882">
        <w:rPr>
          <w:lang w:val="en-GB"/>
        </w:rPr>
        <w:lastRenderedPageBreak/>
        <w:t>Prequalification</w:t>
      </w:r>
      <w:bookmarkEnd w:id="10"/>
    </w:p>
    <w:p w14:paraId="7B8D8EFA" w14:textId="1B2C8BF9" w:rsidR="000D7A78" w:rsidRPr="0024559F" w:rsidRDefault="000D7A78" w:rsidP="000D7A78">
      <w:pPr>
        <w:pStyle w:val="textregular"/>
        <w:spacing w:line="259" w:lineRule="auto"/>
      </w:pPr>
      <w:r w:rsidRPr="0024559F">
        <w:t>Harmonized principles for Reserve Providing Unit (RPU) and Reserve Providing Group (RPG) prequalification in the Baltic LFC block have been agreed upon, defining conditions for technical conformity among reserve providers, and establishing testing procedures. The harmonized principles for Baltic LFC reserve prequalification are published on each respective Baltic TSO's web page</w:t>
      </w:r>
      <w:r w:rsidR="001C1785">
        <w:rPr>
          <w:rStyle w:val="FootnoteReference"/>
        </w:rPr>
        <w:footnoteReference w:id="4"/>
      </w:r>
      <w:r w:rsidR="002426AC">
        <w:t>.</w:t>
      </w:r>
      <w:r w:rsidR="7D6C842A">
        <w:t xml:space="preserve"> </w:t>
      </w:r>
    </w:p>
    <w:p w14:paraId="00B2FE31" w14:textId="77777777" w:rsidR="000D7A78" w:rsidRPr="0024559F" w:rsidRDefault="000D7A78" w:rsidP="000D7A78">
      <w:pPr>
        <w:pStyle w:val="textregular"/>
        <w:spacing w:line="259" w:lineRule="auto"/>
      </w:pPr>
      <w:r w:rsidRPr="0024559F">
        <w:rPr>
          <w:noProof/>
        </w:rPr>
        <w:drawing>
          <wp:inline distT="0" distB="0" distL="0" distR="0" wp14:anchorId="551FC3D2" wp14:editId="3EA8369E">
            <wp:extent cx="5753098" cy="1162050"/>
            <wp:effectExtent l="0" t="0" r="0" b="0"/>
            <wp:docPr id="1" name="Picture 1"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927140" name="Picture 1650927140" descr="Diagram, timelin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53098" cy="1162050"/>
                    </a:xfrm>
                    <a:prstGeom prst="rect">
                      <a:avLst/>
                    </a:prstGeom>
                  </pic:spPr>
                </pic:pic>
              </a:graphicData>
            </a:graphic>
          </wp:inline>
        </w:drawing>
      </w:r>
    </w:p>
    <w:p w14:paraId="6DCE4A88" w14:textId="05DB0AC8" w:rsidR="000D7A78" w:rsidRPr="0024559F" w:rsidRDefault="000D7A78" w:rsidP="000D7A78">
      <w:pPr>
        <w:pStyle w:val="Caption"/>
      </w:pPr>
      <w:r w:rsidRPr="0024559F">
        <w:t xml:space="preserve">Figure </w:t>
      </w:r>
      <w:r w:rsidRPr="0024559F">
        <w:fldChar w:fldCharType="begin"/>
      </w:r>
      <w:r w:rsidRPr="0024559F">
        <w:instrText xml:space="preserve"> SEQ Figure \* ARABIC </w:instrText>
      </w:r>
      <w:r w:rsidRPr="0024559F">
        <w:fldChar w:fldCharType="separate"/>
      </w:r>
      <w:r w:rsidRPr="0024559F">
        <w:t>1</w:t>
      </w:r>
      <w:r w:rsidRPr="0024559F">
        <w:fldChar w:fldCharType="end"/>
      </w:r>
      <w:r w:rsidR="00FA1299" w:rsidRPr="0024559F">
        <w:t>.</w:t>
      </w:r>
      <w:r w:rsidRPr="0024559F">
        <w:t xml:space="preserve"> Overview of prequalification process</w:t>
      </w:r>
    </w:p>
    <w:p w14:paraId="1E0E2E1C" w14:textId="2B4D6F8E" w:rsidR="000D7A78" w:rsidRPr="0024559F" w:rsidRDefault="179D916F" w:rsidP="000D7A78">
      <w:pPr>
        <w:pStyle w:val="textregular"/>
        <w:spacing w:line="259" w:lineRule="auto"/>
      </w:pPr>
      <w:r w:rsidRPr="0024559F">
        <w:t>Only those RPUs and RPGs which are prequalified and contains unique technical units (such technical units, which are not used in any other prequalified RPU or RPG already determined to be eligible to participate in the Baltic balancing market) shall be eligible to participate in the Baltic balancing capacity market.</w:t>
      </w:r>
      <w:r w:rsidR="180FA051" w:rsidRPr="0024559F">
        <w:t xml:space="preserve"> </w:t>
      </w:r>
      <w:r w:rsidR="506EB2C6" w:rsidRPr="0024559F">
        <w:t>On the RPG le</w:t>
      </w:r>
      <w:r w:rsidR="180FA051" w:rsidRPr="0024559F">
        <w:t>vel, indivisible bids</w:t>
      </w:r>
      <w:r w:rsidR="0078345B" w:rsidRPr="0024559F">
        <w:t xml:space="preserve">, </w:t>
      </w:r>
      <w:r w:rsidR="00D0389A" w:rsidRPr="0024559F">
        <w:t xml:space="preserve">the size of </w:t>
      </w:r>
      <w:r w:rsidR="0078345B" w:rsidRPr="0024559F">
        <w:t xml:space="preserve">which shall be agreed upon </w:t>
      </w:r>
      <w:r w:rsidR="00662D24" w:rsidRPr="0024559F">
        <w:t>with the connecting</w:t>
      </w:r>
      <w:r w:rsidR="00934998" w:rsidRPr="0024559F">
        <w:t xml:space="preserve"> TSO</w:t>
      </w:r>
      <w:r w:rsidR="008B5DB2" w:rsidRPr="0024559F">
        <w:t>,</w:t>
      </w:r>
      <w:r w:rsidR="180FA051" w:rsidRPr="0024559F">
        <w:t xml:space="preserve"> </w:t>
      </w:r>
      <w:r w:rsidR="00C30ACB" w:rsidRPr="0024559F">
        <w:t>can only</w:t>
      </w:r>
      <w:r w:rsidR="180FA051" w:rsidRPr="0024559F">
        <w:t xml:space="preserve"> be </w:t>
      </w:r>
      <w:r w:rsidR="00C30ACB" w:rsidRPr="0024559F">
        <w:t>submitted</w:t>
      </w:r>
      <w:r w:rsidR="180FA051" w:rsidRPr="0024559F">
        <w:t xml:space="preserve"> </w:t>
      </w:r>
      <w:r w:rsidR="3FDD81E5" w:rsidRPr="0024559F">
        <w:t>if</w:t>
      </w:r>
      <w:r w:rsidR="180FA051" w:rsidRPr="0024559F">
        <w:t xml:space="preserve"> the </w:t>
      </w:r>
      <w:r w:rsidR="0E7A7086" w:rsidRPr="0024559F">
        <w:t>BSP resource</w:t>
      </w:r>
      <w:r w:rsidR="312CEAA5" w:rsidRPr="0024559F">
        <w:t>,</w:t>
      </w:r>
      <w:r w:rsidR="0E7A7086" w:rsidRPr="0024559F">
        <w:t xml:space="preserve"> that </w:t>
      </w:r>
      <w:r w:rsidR="06CD5B2F" w:rsidRPr="0024559F">
        <w:t>constitutes</w:t>
      </w:r>
      <w:r w:rsidR="0E7A7086" w:rsidRPr="0024559F">
        <w:t xml:space="preserve"> a </w:t>
      </w:r>
      <w:r w:rsidR="2296082B" w:rsidRPr="0024559F">
        <w:t>sing</w:t>
      </w:r>
      <w:r w:rsidR="2AB1229C" w:rsidRPr="0024559F">
        <w:t>le</w:t>
      </w:r>
      <w:r w:rsidR="0E7A7086" w:rsidRPr="0024559F">
        <w:t xml:space="preserve"> generation unit</w:t>
      </w:r>
      <w:r w:rsidR="5ED6C267" w:rsidRPr="0024559F">
        <w:t>,</w:t>
      </w:r>
      <w:r w:rsidR="0E7A7086" w:rsidRPr="0024559F">
        <w:t xml:space="preserve"> </w:t>
      </w:r>
      <w:r w:rsidR="4D86D296" w:rsidRPr="0024559F">
        <w:t xml:space="preserve">is connected to several connection points, and if the BSP is aggregating FRR bids from several assets which would be unable to participate in the market individually due to their size. </w:t>
      </w:r>
      <w:r w:rsidR="795436DC" w:rsidRPr="0024559F">
        <w:t xml:space="preserve">This ensures that </w:t>
      </w:r>
      <w:r w:rsidR="0AB0C789" w:rsidRPr="0024559F">
        <w:t>BSPs with RPGs</w:t>
      </w:r>
      <w:r w:rsidR="795436DC" w:rsidRPr="0024559F">
        <w:t xml:space="preserve"> will not submit </w:t>
      </w:r>
      <w:r w:rsidR="48D7EC32" w:rsidRPr="0024559F">
        <w:t xml:space="preserve">very </w:t>
      </w:r>
      <w:r w:rsidR="795436DC" w:rsidRPr="0024559F">
        <w:t>large</w:t>
      </w:r>
      <w:r w:rsidR="33B850AA" w:rsidRPr="0024559F">
        <w:t xml:space="preserve"> quantities of</w:t>
      </w:r>
      <w:r w:rsidR="795436DC" w:rsidRPr="0024559F">
        <w:t xml:space="preserve"> indivisible bids </w:t>
      </w:r>
      <w:r w:rsidR="50833712" w:rsidRPr="0024559F">
        <w:t>that the</w:t>
      </w:r>
      <w:r w:rsidR="5F5EAB66" w:rsidRPr="0024559F">
        <w:t xml:space="preserve"> capacity procurement optimisation </w:t>
      </w:r>
      <w:r w:rsidR="07204D18" w:rsidRPr="0024559F">
        <w:t xml:space="preserve">algorithm </w:t>
      </w:r>
      <w:r w:rsidR="4E35A8FF" w:rsidRPr="0024559F">
        <w:t xml:space="preserve">will be forced to choose </w:t>
      </w:r>
      <w:proofErr w:type="gramStart"/>
      <w:r w:rsidR="4E35A8FF" w:rsidRPr="0024559F">
        <w:t>in order to</w:t>
      </w:r>
      <w:proofErr w:type="gramEnd"/>
      <w:r w:rsidR="4E35A8FF" w:rsidRPr="0024559F">
        <w:t xml:space="preserve"> avoid </w:t>
      </w:r>
      <w:r w:rsidR="00226B1C" w:rsidRPr="0024559F">
        <w:t xml:space="preserve">reserve resource </w:t>
      </w:r>
      <w:r w:rsidR="4E35A8FF" w:rsidRPr="0024559F">
        <w:t>scarcity.</w:t>
      </w:r>
      <w:r w:rsidR="4CEBDD57" w:rsidRPr="0024559F">
        <w:t xml:space="preserve"> </w:t>
      </w:r>
    </w:p>
    <w:p w14:paraId="210B9A00" w14:textId="77777777" w:rsidR="000D7A78" w:rsidRPr="0024559F" w:rsidRDefault="000D7A78" w:rsidP="000D7A78">
      <w:pPr>
        <w:rPr>
          <w:i/>
        </w:rPr>
      </w:pPr>
      <w:r w:rsidRPr="0024559F">
        <w:t>Further rules for prequalification of RPUs and RPGs and determination of eligible RPUs and RPGs for participation in the Baltic capacity market are subject to nationally set terms and conditions.</w:t>
      </w:r>
    </w:p>
    <w:p w14:paraId="238FC660" w14:textId="6C42C0BA" w:rsidR="00370583" w:rsidRPr="0024559F" w:rsidRDefault="054C0EBD" w:rsidP="000A7038">
      <w:pPr>
        <w:pStyle w:val="headline1"/>
        <w:rPr>
          <w:lang w:val="en-GB"/>
        </w:rPr>
      </w:pPr>
      <w:bookmarkStart w:id="11" w:name="_Toc1302178370"/>
      <w:r w:rsidRPr="68683882">
        <w:rPr>
          <w:lang w:val="en-GB"/>
        </w:rPr>
        <w:t>Capacity b</w:t>
      </w:r>
      <w:r w:rsidR="40175572" w:rsidRPr="68683882">
        <w:rPr>
          <w:lang w:val="en-GB"/>
        </w:rPr>
        <w:t xml:space="preserve">id submission and </w:t>
      </w:r>
      <w:r w:rsidRPr="68683882">
        <w:rPr>
          <w:lang w:val="en-GB"/>
        </w:rPr>
        <w:t>procurement</w:t>
      </w:r>
      <w:bookmarkEnd w:id="11"/>
    </w:p>
    <w:p w14:paraId="4F963267" w14:textId="291AB79F" w:rsidR="00D14D38" w:rsidRPr="0024559F" w:rsidRDefault="00D14D38" w:rsidP="00D14D38">
      <w:pPr>
        <w:pStyle w:val="textregular"/>
        <w:rPr>
          <w:i/>
          <w:iCs/>
        </w:rPr>
      </w:pPr>
      <w:r w:rsidRPr="0024559F">
        <w:rPr>
          <w:i/>
          <w:iCs/>
        </w:rPr>
        <w:t xml:space="preserve">Bid submission for daily </w:t>
      </w:r>
      <w:proofErr w:type="gramStart"/>
      <w:r w:rsidRPr="0024559F">
        <w:rPr>
          <w:i/>
          <w:iCs/>
        </w:rPr>
        <w:t>auctions</w:t>
      </w:r>
      <w:proofErr w:type="gramEnd"/>
    </w:p>
    <w:p w14:paraId="50187B46" w14:textId="1496D3CB" w:rsidR="00D14D38" w:rsidRPr="0024559F" w:rsidRDefault="00D14D38" w:rsidP="00D14D38">
      <w:pPr>
        <w:pStyle w:val="textregular"/>
      </w:pPr>
      <w:r>
        <w:t xml:space="preserve">Baltic balancing capacity market design foresees organization of daily auctions to procure required reserves for next day each market time periods. Bids in accordance with Baltic capacity products for each type of reserves (FCR, aFRR and mFRR) can be submitted by BSPs </w:t>
      </w:r>
      <w:r w:rsidR="4B7840E8">
        <w:t xml:space="preserve">for each daily auction </w:t>
      </w:r>
      <w:r>
        <w:t xml:space="preserve">starting from </w:t>
      </w:r>
      <w:r w:rsidR="3EA941D5">
        <w:t>capacity bid submission opening time</w:t>
      </w:r>
      <w:r>
        <w:t xml:space="preserve"> until </w:t>
      </w:r>
      <w:r w:rsidR="37ED864B">
        <w:t xml:space="preserve">respective reserve type bid submission </w:t>
      </w:r>
      <w:r>
        <w:t>closing time (</w:t>
      </w:r>
      <w:r w:rsidR="054FEE86">
        <w:t>Figure</w:t>
      </w:r>
      <w:r w:rsidR="252495D9">
        <w:t xml:space="preserve"> </w:t>
      </w:r>
      <w:r w:rsidR="00DF6F6C">
        <w:t>2</w:t>
      </w:r>
      <w:r w:rsidR="3A81C083">
        <w:t>)</w:t>
      </w:r>
      <w:r>
        <w:t xml:space="preserve">. Submitted bids can be updated or withdrawn until </w:t>
      </w:r>
      <w:r w:rsidR="79851468">
        <w:t>bid submission closing time</w:t>
      </w:r>
      <w:r>
        <w:t xml:space="preserve">. After </w:t>
      </w:r>
      <w:r w:rsidR="3041C647">
        <w:t>th</w:t>
      </w:r>
      <w:r w:rsidR="47BD33E7">
        <w:t>is time</w:t>
      </w:r>
      <w:r>
        <w:t xml:space="preserve"> bids can no longer be changed and are considered firm.</w:t>
      </w:r>
      <w:r w:rsidR="002B3BBF" w:rsidRPr="002B3BBF">
        <w:rPr>
          <w:noProof/>
        </w:rPr>
        <w:t xml:space="preserve"> </w:t>
      </w:r>
    </w:p>
    <w:p w14:paraId="6A528484" w14:textId="7947BCED" w:rsidR="00D359AE" w:rsidRPr="0024559F" w:rsidRDefault="002B3BBF" w:rsidP="00D359AE">
      <w:pPr>
        <w:pStyle w:val="textregular"/>
        <w:keepNext/>
      </w:pPr>
      <w:r w:rsidRPr="002B3BBF">
        <w:lastRenderedPageBreak/>
        <w:drawing>
          <wp:anchor distT="0" distB="0" distL="114300" distR="114300" simplePos="0" relativeHeight="251659267" behindDoc="0" locked="0" layoutInCell="1" allowOverlap="1" wp14:anchorId="72087478" wp14:editId="7B4CFEE5">
            <wp:simplePos x="0" y="0"/>
            <wp:positionH relativeFrom="page">
              <wp:posOffset>6800850</wp:posOffset>
            </wp:positionH>
            <wp:positionV relativeFrom="page">
              <wp:posOffset>3016250</wp:posOffset>
            </wp:positionV>
            <wp:extent cx="311150" cy="298450"/>
            <wp:effectExtent l="0" t="0" r="0" b="6350"/>
            <wp:wrapNone/>
            <wp:docPr id="14429475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947554" name=""/>
                    <pic:cNvPicPr/>
                  </pic:nvPicPr>
                  <pic:blipFill>
                    <a:blip r:embed="rId14">
                      <a:extLst>
                        <a:ext uri="{28A0092B-C50C-407E-A947-70E740481C1C}">
                          <a14:useLocalDpi xmlns:a14="http://schemas.microsoft.com/office/drawing/2010/main" val="0"/>
                        </a:ext>
                      </a:extLst>
                    </a:blip>
                    <a:stretch>
                      <a:fillRect/>
                    </a:stretch>
                  </pic:blipFill>
                  <pic:spPr>
                    <a:xfrm>
                      <a:off x="0" y="0"/>
                      <a:ext cx="311150" cy="298450"/>
                    </a:xfrm>
                    <a:prstGeom prst="rect">
                      <a:avLst/>
                    </a:prstGeom>
                  </pic:spPr>
                </pic:pic>
              </a:graphicData>
            </a:graphic>
            <wp14:sizeRelH relativeFrom="page">
              <wp14:pctWidth>0</wp14:pctWidth>
            </wp14:sizeRelH>
            <wp14:sizeRelV relativeFrom="page">
              <wp14:pctHeight>0</wp14:pctHeight>
            </wp14:sizeRelV>
          </wp:anchor>
        </w:drawing>
      </w:r>
      <w:r w:rsidR="006868E6" w:rsidRPr="006868E6">
        <w:rPr>
          <w:noProof/>
        </w:rPr>
        <w:t xml:space="preserve"> </w:t>
      </w:r>
      <w:r w:rsidR="006868E6" w:rsidRPr="006868E6">
        <w:rPr>
          <w:noProof/>
        </w:rPr>
        <w:drawing>
          <wp:inline distT="0" distB="0" distL="0" distR="0" wp14:anchorId="2F849FF1" wp14:editId="549E7984">
            <wp:extent cx="6047740" cy="2062480"/>
            <wp:effectExtent l="0" t="0" r="0" b="0"/>
            <wp:docPr id="1048747714"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747714" name="Picture 1" descr="A screenshot of a computer screen&#10;&#10;Description automatically generated"/>
                    <pic:cNvPicPr/>
                  </pic:nvPicPr>
                  <pic:blipFill>
                    <a:blip r:embed="rId15"/>
                    <a:stretch>
                      <a:fillRect/>
                    </a:stretch>
                  </pic:blipFill>
                  <pic:spPr>
                    <a:xfrm>
                      <a:off x="0" y="0"/>
                      <a:ext cx="6047740" cy="2062480"/>
                    </a:xfrm>
                    <a:prstGeom prst="rect">
                      <a:avLst/>
                    </a:prstGeom>
                  </pic:spPr>
                </pic:pic>
              </a:graphicData>
            </a:graphic>
          </wp:inline>
        </w:drawing>
      </w:r>
    </w:p>
    <w:p w14:paraId="7AB29BC8" w14:textId="34530B70" w:rsidR="00D359AE" w:rsidRPr="0024559F" w:rsidRDefault="00D359AE" w:rsidP="00D359AE">
      <w:pPr>
        <w:pStyle w:val="Caption"/>
        <w:jc w:val="both"/>
      </w:pPr>
      <w:r w:rsidRPr="0024559F">
        <w:t xml:space="preserve">Figure </w:t>
      </w:r>
      <w:r w:rsidRPr="0024559F">
        <w:fldChar w:fldCharType="begin"/>
      </w:r>
      <w:r w:rsidRPr="0024559F">
        <w:instrText xml:space="preserve"> SEQ Figure \* ARABIC </w:instrText>
      </w:r>
      <w:r w:rsidRPr="0024559F">
        <w:fldChar w:fldCharType="separate"/>
      </w:r>
      <w:r w:rsidR="005D2CE0" w:rsidRPr="0024559F">
        <w:t>2</w:t>
      </w:r>
      <w:r w:rsidRPr="0024559F">
        <w:fldChar w:fldCharType="end"/>
      </w:r>
      <w:r w:rsidRPr="0024559F">
        <w:t>. Handling of bids and orders</w:t>
      </w:r>
    </w:p>
    <w:p w14:paraId="563E0ECF" w14:textId="789D0FD6" w:rsidR="00D14D38" w:rsidRPr="0024559F" w:rsidRDefault="00D14D38" w:rsidP="00D14D38">
      <w:pPr>
        <w:pStyle w:val="textregular"/>
        <w:rPr>
          <w:i/>
          <w:iCs/>
        </w:rPr>
      </w:pPr>
      <w:r w:rsidRPr="0024559F">
        <w:rPr>
          <w:i/>
          <w:iCs/>
        </w:rPr>
        <w:t>Orders</w:t>
      </w:r>
    </w:p>
    <w:p w14:paraId="25CB07FF" w14:textId="171C309A" w:rsidR="00D14D38" w:rsidRPr="0024559F" w:rsidRDefault="267FD0A5" w:rsidP="00D14D38">
      <w:pPr>
        <w:pStyle w:val="textregular"/>
      </w:pPr>
      <w:r w:rsidRPr="0024559F">
        <w:t>As a result of auctions, orders for capacity reserves with obligation for BSP to ensure reserves will be provided. Orders will contain information about</w:t>
      </w:r>
      <w:r w:rsidR="00813FD2" w:rsidRPr="0024559F">
        <w:t xml:space="preserve"> the</w:t>
      </w:r>
      <w:r w:rsidRPr="0024559F">
        <w:t xml:space="preserve"> </w:t>
      </w:r>
      <w:r w:rsidR="004B248F">
        <w:t>reserve provider</w:t>
      </w:r>
      <w:r w:rsidR="00C83581">
        <w:t>,</w:t>
      </w:r>
      <w:r w:rsidRPr="0024559F">
        <w:t xml:space="preserve"> reserve</w:t>
      </w:r>
      <w:r w:rsidR="004B248F">
        <w:t xml:space="preserve"> providing</w:t>
      </w:r>
      <w:r w:rsidRPr="0024559F">
        <w:t xml:space="preserve"> unit</w:t>
      </w:r>
      <w:r w:rsidR="004B248F">
        <w:t xml:space="preserve"> or reserve providing group</w:t>
      </w:r>
      <w:r w:rsidRPr="0024559F">
        <w:t>, type</w:t>
      </w:r>
      <w:r w:rsidR="00792075">
        <w:t>,</w:t>
      </w:r>
      <w:r w:rsidRPr="0024559F">
        <w:t xml:space="preserve"> </w:t>
      </w:r>
      <w:proofErr w:type="gramStart"/>
      <w:r w:rsidRPr="0024559F">
        <w:t>amount</w:t>
      </w:r>
      <w:proofErr w:type="gramEnd"/>
      <w:r w:rsidR="004D4840">
        <w:t xml:space="preserve"> and price</w:t>
      </w:r>
      <w:r w:rsidRPr="0024559F">
        <w:t xml:space="preserve"> of reserves. </w:t>
      </w:r>
    </w:p>
    <w:p w14:paraId="563081D1" w14:textId="153028CE" w:rsidR="00850F93" w:rsidRPr="0024559F" w:rsidRDefault="00850F93" w:rsidP="001D3438">
      <w:pPr>
        <w:pStyle w:val="headline1"/>
        <w:numPr>
          <w:ilvl w:val="1"/>
          <w:numId w:val="9"/>
        </w:numPr>
        <w:rPr>
          <w:lang w:val="en-GB"/>
        </w:rPr>
      </w:pPr>
      <w:bookmarkStart w:id="12" w:name="_Toc865748581"/>
      <w:r w:rsidRPr="68683882">
        <w:rPr>
          <w:lang w:val="en-GB"/>
        </w:rPr>
        <w:t>Transfer of obligations</w:t>
      </w:r>
      <w:bookmarkEnd w:id="12"/>
    </w:p>
    <w:p w14:paraId="1DF11222" w14:textId="2D2A8B31" w:rsidR="00850F93" w:rsidRPr="0024559F" w:rsidRDefault="2B960FC3" w:rsidP="00850F93">
      <w:pPr>
        <w:pStyle w:val="textregular"/>
      </w:pPr>
      <w:r w:rsidRPr="0024559F">
        <w:t xml:space="preserve">After receiving </w:t>
      </w:r>
      <w:r w:rsidR="59C29312" w:rsidRPr="0024559F">
        <w:t>the</w:t>
      </w:r>
      <w:r w:rsidRPr="0024559F">
        <w:t xml:space="preserve"> order for balancing capacity, due to unavailability of resources or other reasons, BSP may transfer obligations provided in the order. </w:t>
      </w:r>
      <w:r w:rsidR="32C0AE0D" w:rsidRPr="0024559F">
        <w:t xml:space="preserve">Obligations may be transferred until transfer of obligation closing time (Figure </w:t>
      </w:r>
      <w:r w:rsidR="73B16169" w:rsidRPr="0024559F">
        <w:t>2</w:t>
      </w:r>
      <w:r w:rsidR="32C0AE0D" w:rsidRPr="0024559F">
        <w:t xml:space="preserve">). </w:t>
      </w:r>
      <w:r w:rsidR="00984D7A">
        <w:t>aFRR and mFRR</w:t>
      </w:r>
      <w:r w:rsidR="00F90991">
        <w:t xml:space="preserve"> capacity</w:t>
      </w:r>
      <w:r w:rsidR="00984D7A">
        <w:t xml:space="preserve"> </w:t>
      </w:r>
      <w:r w:rsidR="00F90991">
        <w:t>o</w:t>
      </w:r>
      <w:r w:rsidRPr="0024559F">
        <w:t>bligations may be transferred only within the bidding zone to which</w:t>
      </w:r>
      <w:r w:rsidR="004B7F8D" w:rsidRPr="0024559F">
        <w:t xml:space="preserve"> the</w:t>
      </w:r>
      <w:r w:rsidRPr="0024559F">
        <w:t xml:space="preserve"> order has been provided.</w:t>
      </w:r>
      <w:r w:rsidR="000F2FF4">
        <w:t xml:space="preserve"> Such restriction</w:t>
      </w:r>
      <w:r w:rsidR="00F90991">
        <w:t>s</w:t>
      </w:r>
      <w:r w:rsidR="000F2FF4">
        <w:t xml:space="preserve"> shall only apply until the </w:t>
      </w:r>
      <w:r w:rsidR="004B4280" w:rsidRPr="004B4280">
        <w:t>Exemption to the obligation to allow transfer of aFRR and mFRR balancing capacity for all bidding zones in the Baltic countries (hereinafter – Exemption) in accordance with Article 34(1) of Commission Regulation (EU) 2017/2195 of 23 November 2017 establishing a guideline on electricity balancing</w:t>
      </w:r>
      <w:r w:rsidR="004B4280">
        <w:t xml:space="preserve"> is no longer in force.</w:t>
      </w:r>
      <w:r w:rsidRPr="0024559F">
        <w:t xml:space="preserve"> Obligations may be transferred to another reserve unit of the same BSP or to another BSP. In any case, compliance of the BSP and/or reserve unit with prequalification requirements shall be ensured and will be monitored.</w:t>
      </w:r>
    </w:p>
    <w:p w14:paraId="58355C84" w14:textId="0E238D94" w:rsidR="00370583" w:rsidRPr="0024559F" w:rsidRDefault="00370583" w:rsidP="001D3438">
      <w:pPr>
        <w:pStyle w:val="headline1"/>
        <w:numPr>
          <w:ilvl w:val="1"/>
          <w:numId w:val="10"/>
        </w:numPr>
        <w:rPr>
          <w:lang w:val="en-GB"/>
        </w:rPr>
      </w:pPr>
      <w:bookmarkStart w:id="13" w:name="_Toc970223994"/>
      <w:r w:rsidRPr="68683882">
        <w:rPr>
          <w:lang w:val="en-GB"/>
        </w:rPr>
        <w:t>Additional rules for Mandatory energy bids</w:t>
      </w:r>
      <w:bookmarkEnd w:id="13"/>
    </w:p>
    <w:p w14:paraId="56F85E27" w14:textId="0A6299DD" w:rsidR="00850F93" w:rsidRPr="0024559F" w:rsidRDefault="00850F93" w:rsidP="00850F93">
      <w:pPr>
        <w:pStyle w:val="textregular"/>
      </w:pPr>
      <w:r w:rsidRPr="0024559F">
        <w:t xml:space="preserve">FRR reserves specified in the order shall be submitted to the Connecting TSO in </w:t>
      </w:r>
      <w:r w:rsidR="44E6A654" w:rsidRPr="0024559F">
        <w:t xml:space="preserve">the </w:t>
      </w:r>
      <w:r w:rsidRPr="0024559F">
        <w:t xml:space="preserve">form of respective balancing energy product and in accordance with Baltic balancing rules and corresponding National terms and conditions. Such bids will be considered as mandatory bids in the energy market and there will be monitoring </w:t>
      </w:r>
      <w:r w:rsidR="544CDA6D" w:rsidRPr="0024559F">
        <w:t>of</w:t>
      </w:r>
      <w:r w:rsidRPr="0024559F">
        <w:t xml:space="preserve"> </w:t>
      </w:r>
      <w:r w:rsidR="77579F96" w:rsidRPr="0024559F">
        <w:t>their</w:t>
      </w:r>
      <w:r w:rsidRPr="0024559F">
        <w:t xml:space="preserve"> presence and availability organised by Connecting TSO.</w:t>
      </w:r>
    </w:p>
    <w:p w14:paraId="36710AB5" w14:textId="087CB2C3" w:rsidR="00370583" w:rsidRPr="0024559F" w:rsidRDefault="28EED9C9" w:rsidP="00370583">
      <w:pPr>
        <w:pStyle w:val="headline1"/>
        <w:rPr>
          <w:lang w:val="en-GB"/>
        </w:rPr>
      </w:pPr>
      <w:bookmarkStart w:id="14" w:name="_Toc175990183"/>
      <w:r w:rsidRPr="68683882">
        <w:rPr>
          <w:lang w:val="en-GB"/>
        </w:rPr>
        <w:t>Algorithm</w:t>
      </w:r>
      <w:bookmarkEnd w:id="14"/>
    </w:p>
    <w:p w14:paraId="24A89A11" w14:textId="1F2D2059" w:rsidR="00704A23" w:rsidRPr="0024559F" w:rsidRDefault="00704A23" w:rsidP="00704A23">
      <w:pPr>
        <w:pStyle w:val="textregular"/>
      </w:pPr>
      <w:r w:rsidRPr="0024559F">
        <w:t xml:space="preserve">There will be separate procurement processes for FCR and FRR. The FCR procurement process is organized before the FRR process which allows the market participants </w:t>
      </w:r>
      <w:r w:rsidR="00B92FBE" w:rsidRPr="0024559F">
        <w:t>to</w:t>
      </w:r>
      <w:r w:rsidRPr="0024559F">
        <w:t xml:space="preserve"> use the outcome of the FCR process in the FRR process as input. The FCR and FRR processes each have their own individual procurement functions which feature different restrictions. Within the FRR process, the market is cleared simultaneously for both aFRR and both mFRR products, optimizing the CZC usage for all markets.</w:t>
      </w:r>
    </w:p>
    <w:p w14:paraId="732B54D4" w14:textId="639F94B2" w:rsidR="00704A23" w:rsidRPr="0024559F" w:rsidRDefault="00704A23" w:rsidP="00704A23">
      <w:pPr>
        <w:pStyle w:val="textregular"/>
      </w:pPr>
      <w:r w:rsidRPr="0024559F">
        <w:t xml:space="preserve">First the procurement function for FCR is ran and results are communicated to the BSPs. After, the FRR bids are collected and procurement function for both aFRR and mFRR is </w:t>
      </w:r>
      <w:r w:rsidR="798E2D74" w:rsidRPr="0024559F">
        <w:t>run</w:t>
      </w:r>
      <w:r w:rsidRPr="0024559F">
        <w:t xml:space="preserve"> as a single optimisation, results will be communicated to the BSPs as </w:t>
      </w:r>
      <w:r w:rsidR="004C4374" w:rsidRPr="0024559F">
        <w:t>stated</w:t>
      </w:r>
      <w:r w:rsidRPr="0024559F">
        <w:t xml:space="preserve"> in the </w:t>
      </w:r>
      <w:r w:rsidR="004C4374" w:rsidRPr="0024559F">
        <w:t xml:space="preserve">Figure </w:t>
      </w:r>
      <w:r w:rsidR="0087428C" w:rsidRPr="0024559F">
        <w:t>2</w:t>
      </w:r>
      <w:r w:rsidR="004C4374" w:rsidRPr="0024559F">
        <w:t>.</w:t>
      </w:r>
    </w:p>
    <w:p w14:paraId="612D1D33" w14:textId="1E2B8DD2" w:rsidR="00C255D1" w:rsidRPr="0024559F" w:rsidRDefault="00C255D1" w:rsidP="001D3438">
      <w:pPr>
        <w:pStyle w:val="headline1"/>
        <w:numPr>
          <w:ilvl w:val="1"/>
          <w:numId w:val="9"/>
        </w:numPr>
        <w:rPr>
          <w:lang w:val="en-GB"/>
        </w:rPr>
      </w:pPr>
      <w:bookmarkStart w:id="15" w:name="_Toc1097551579"/>
      <w:r w:rsidRPr="68683882">
        <w:rPr>
          <w:lang w:val="en-GB"/>
        </w:rPr>
        <w:lastRenderedPageBreak/>
        <w:t>FCR process</w:t>
      </w:r>
      <w:bookmarkEnd w:id="15"/>
    </w:p>
    <w:p w14:paraId="6036056D" w14:textId="6CEAE4B9" w:rsidR="00925C43" w:rsidRPr="0024559F" w:rsidRDefault="00925C43" w:rsidP="00925C43">
      <w:r w:rsidRPr="0024559F">
        <w:t xml:space="preserve">The reserve capacity bid closure time for the submission of FCR bids by BSPs to the connecting TSO for the next day shall be no later than 7:30 (EET). </w:t>
      </w:r>
    </w:p>
    <w:p w14:paraId="33568DD7" w14:textId="457492F9" w:rsidR="00925C43" w:rsidRPr="0024559F" w:rsidRDefault="00925C43" w:rsidP="00C255D1">
      <w:pPr>
        <w:pStyle w:val="textregular"/>
      </w:pPr>
    </w:p>
    <w:p w14:paraId="1AC60D23" w14:textId="282B1881" w:rsidR="00C255D1" w:rsidRPr="0024559F" w:rsidRDefault="00562AAF" w:rsidP="00C255D1">
      <w:pPr>
        <w:pStyle w:val="textregular"/>
      </w:pPr>
      <w:r w:rsidRPr="0024559F">
        <w:rPr>
          <w:noProof/>
        </w:rPr>
        <w:drawing>
          <wp:anchor distT="0" distB="0" distL="114300" distR="114300" simplePos="0" relativeHeight="251658243" behindDoc="0" locked="0" layoutInCell="1" allowOverlap="1" wp14:anchorId="789E159C" wp14:editId="45A09AE1">
            <wp:simplePos x="0" y="0"/>
            <wp:positionH relativeFrom="column">
              <wp:posOffset>-1270</wp:posOffset>
            </wp:positionH>
            <wp:positionV relativeFrom="paragraph">
              <wp:posOffset>1905</wp:posOffset>
            </wp:positionV>
            <wp:extent cx="2022475" cy="3496310"/>
            <wp:effectExtent l="0" t="0" r="0" b="8890"/>
            <wp:wrapSquare wrapText="bothSides"/>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22475" cy="3496310"/>
                    </a:xfrm>
                    <a:prstGeom prst="rect">
                      <a:avLst/>
                    </a:prstGeom>
                    <a:noFill/>
                    <a:ln>
                      <a:noFill/>
                    </a:ln>
                  </pic:spPr>
                </pic:pic>
              </a:graphicData>
            </a:graphic>
          </wp:anchor>
        </w:drawing>
      </w:r>
      <w:r w:rsidR="00C255D1" w:rsidRPr="0024559F">
        <w:t xml:space="preserve">Each TSO shall submit following information as an input to FCR procurement </w:t>
      </w:r>
      <w:r w:rsidR="30D7EF4F" w:rsidRPr="0024559F">
        <w:t>optimization</w:t>
      </w:r>
      <w:r w:rsidR="00C255D1" w:rsidRPr="0024559F">
        <w:t xml:space="preserve"> function run: </w:t>
      </w:r>
    </w:p>
    <w:p w14:paraId="34406BBB" w14:textId="59C598E4" w:rsidR="3B70383A" w:rsidRPr="0024559F" w:rsidRDefault="3B70383A" w:rsidP="3B70383A">
      <w:pPr>
        <w:pStyle w:val="textregular"/>
      </w:pPr>
    </w:p>
    <w:p w14:paraId="3AF2C8DD" w14:textId="41F741DE" w:rsidR="00C255D1" w:rsidRPr="0024559F" w:rsidRDefault="00C308F1" w:rsidP="68683882">
      <w:pPr>
        <w:pStyle w:val="ListParagraph"/>
        <w:numPr>
          <w:ilvl w:val="0"/>
          <w:numId w:val="2"/>
        </w:numPr>
        <w:rPr>
          <w:lang w:val="en-GB"/>
        </w:rPr>
      </w:pPr>
      <w:r w:rsidRPr="68683882">
        <w:rPr>
          <w:lang w:val="en-GB"/>
        </w:rPr>
        <w:t>a</w:t>
      </w:r>
      <w:r w:rsidR="00C255D1" w:rsidRPr="68683882">
        <w:rPr>
          <w:lang w:val="en-GB"/>
        </w:rPr>
        <w:t xml:space="preserve">ll FCR </w:t>
      </w:r>
      <w:r w:rsidR="007E2DCD" w:rsidRPr="68683882">
        <w:rPr>
          <w:lang w:val="en-GB"/>
        </w:rPr>
        <w:t xml:space="preserve">balancing </w:t>
      </w:r>
      <w:r w:rsidR="00C255D1" w:rsidRPr="68683882">
        <w:rPr>
          <w:lang w:val="en-GB"/>
        </w:rPr>
        <w:t xml:space="preserve">capacity bids </w:t>
      </w:r>
      <w:r w:rsidR="007E2DCD" w:rsidRPr="68683882">
        <w:rPr>
          <w:lang w:val="en-GB"/>
        </w:rPr>
        <w:t xml:space="preserve">received </w:t>
      </w:r>
      <w:r w:rsidR="00C255D1" w:rsidRPr="68683882">
        <w:rPr>
          <w:lang w:val="en-GB"/>
        </w:rPr>
        <w:t xml:space="preserve">from </w:t>
      </w:r>
      <w:r w:rsidR="007E2DCD" w:rsidRPr="68683882">
        <w:rPr>
          <w:lang w:val="en-GB"/>
        </w:rPr>
        <w:t>primary and</w:t>
      </w:r>
      <w:r w:rsidR="00C255D1" w:rsidRPr="68683882">
        <w:rPr>
          <w:lang w:val="en-GB"/>
        </w:rPr>
        <w:t xml:space="preserve"> back-up </w:t>
      </w:r>
      <w:proofErr w:type="gramStart"/>
      <w:r w:rsidR="00C255D1" w:rsidRPr="68683882">
        <w:rPr>
          <w:lang w:val="en-GB"/>
        </w:rPr>
        <w:t>resources;</w:t>
      </w:r>
      <w:proofErr w:type="gramEnd"/>
      <w:r w:rsidR="00C255D1" w:rsidRPr="68683882">
        <w:rPr>
          <w:lang w:val="en-GB"/>
        </w:rPr>
        <w:t xml:space="preserve"> </w:t>
      </w:r>
    </w:p>
    <w:p w14:paraId="0F109543" w14:textId="356B18C2" w:rsidR="00C255D1" w:rsidRPr="0024559F" w:rsidRDefault="00C308F1" w:rsidP="68683882">
      <w:pPr>
        <w:pStyle w:val="ListParagraph"/>
        <w:numPr>
          <w:ilvl w:val="0"/>
          <w:numId w:val="2"/>
        </w:numPr>
        <w:rPr>
          <w:lang w:val="en-GB"/>
        </w:rPr>
      </w:pPr>
      <w:r w:rsidRPr="68683882">
        <w:rPr>
          <w:lang w:val="en-GB"/>
        </w:rPr>
        <w:t>r</w:t>
      </w:r>
      <w:r w:rsidR="001D4846" w:rsidRPr="68683882">
        <w:rPr>
          <w:lang w:val="en-GB"/>
        </w:rPr>
        <w:t>eserve requirements of</w:t>
      </w:r>
      <w:r w:rsidR="00C255D1" w:rsidRPr="68683882">
        <w:rPr>
          <w:lang w:val="en-GB"/>
        </w:rPr>
        <w:t xml:space="preserve"> FCR reserve capacity in accordance with dimensioning rules </w:t>
      </w:r>
      <w:r w:rsidR="00C40B3A" w:rsidRPr="68683882">
        <w:rPr>
          <w:lang w:val="en-GB"/>
        </w:rPr>
        <w:t>of the CESA System Frequency working-</w:t>
      </w:r>
      <w:proofErr w:type="gramStart"/>
      <w:r w:rsidR="00C40B3A" w:rsidRPr="68683882">
        <w:rPr>
          <w:lang w:val="en-GB"/>
        </w:rPr>
        <w:t>group</w:t>
      </w:r>
      <w:r w:rsidR="00C255D1" w:rsidRPr="68683882">
        <w:rPr>
          <w:lang w:val="en-GB"/>
        </w:rPr>
        <w:t>;</w:t>
      </w:r>
      <w:proofErr w:type="gramEnd"/>
      <w:r w:rsidR="00C255D1" w:rsidRPr="68683882">
        <w:rPr>
          <w:lang w:val="en-GB"/>
        </w:rPr>
        <w:t xml:space="preserve"> </w:t>
      </w:r>
    </w:p>
    <w:p w14:paraId="4202F2B7" w14:textId="2460686E" w:rsidR="00C255D1" w:rsidRPr="0024559F" w:rsidRDefault="00C308F1" w:rsidP="68683882">
      <w:pPr>
        <w:pStyle w:val="ListParagraph"/>
        <w:numPr>
          <w:ilvl w:val="0"/>
          <w:numId w:val="2"/>
        </w:numPr>
        <w:rPr>
          <w:rFonts w:eastAsiaTheme="minorEastAsia"/>
          <w:lang w:val="en-GB"/>
        </w:rPr>
      </w:pPr>
      <w:r w:rsidRPr="68683882">
        <w:rPr>
          <w:lang w:val="en-GB"/>
        </w:rPr>
        <w:t>m</w:t>
      </w:r>
      <w:r w:rsidR="2CE450E0" w:rsidRPr="68683882">
        <w:rPr>
          <w:lang w:val="en-GB"/>
        </w:rPr>
        <w:t>inimum volume of balancing capacity to be procured in each bidding zone, if applicable</w:t>
      </w:r>
      <w:r w:rsidR="00813FD2" w:rsidRPr="68683882">
        <w:rPr>
          <w:lang w:val="en-GB"/>
        </w:rPr>
        <w:t>.</w:t>
      </w:r>
    </w:p>
    <w:p w14:paraId="1217EBDB" w14:textId="1E4617BF" w:rsidR="00C255D1" w:rsidRPr="0024559F" w:rsidRDefault="00C255D1" w:rsidP="00C255D1">
      <w:pPr>
        <w:jc w:val="both"/>
        <w:rPr>
          <w:rFonts w:cstheme="minorHAnsi"/>
        </w:rPr>
      </w:pPr>
    </w:p>
    <w:p w14:paraId="4968A0E1" w14:textId="67DF993F" w:rsidR="0021602B" w:rsidRPr="0024559F" w:rsidRDefault="00562AAF" w:rsidP="610D23D9">
      <w:pPr>
        <w:jc w:val="both"/>
      </w:pPr>
      <w:r w:rsidRPr="0024559F">
        <w:rPr>
          <w:noProof/>
        </w:rPr>
        <mc:AlternateContent>
          <mc:Choice Requires="wps">
            <w:drawing>
              <wp:anchor distT="0" distB="0" distL="114300" distR="114300" simplePos="0" relativeHeight="251658240" behindDoc="0" locked="0" layoutInCell="1" allowOverlap="1" wp14:anchorId="3319C328" wp14:editId="18E5B30B">
                <wp:simplePos x="0" y="0"/>
                <wp:positionH relativeFrom="column">
                  <wp:posOffset>-137337</wp:posOffset>
                </wp:positionH>
                <wp:positionV relativeFrom="paragraph">
                  <wp:posOffset>1560728</wp:posOffset>
                </wp:positionV>
                <wp:extent cx="2158365" cy="3619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158365" cy="361950"/>
                        </a:xfrm>
                        <a:prstGeom prst="rect">
                          <a:avLst/>
                        </a:prstGeom>
                        <a:solidFill>
                          <a:prstClr val="white"/>
                        </a:solidFill>
                        <a:ln>
                          <a:noFill/>
                        </a:ln>
                      </wps:spPr>
                      <wps:txbx>
                        <w:txbxContent>
                          <w:p w14:paraId="5F8C8D8D" w14:textId="3C92F00B" w:rsidR="005A5EC2" w:rsidRPr="00C23FC1" w:rsidRDefault="005A5EC2" w:rsidP="005A5EC2">
                            <w:pPr>
                              <w:pStyle w:val="Caption"/>
                              <w:rPr>
                                <w:noProof/>
                                <w:lang w:val="fi-FI"/>
                              </w:rPr>
                            </w:pPr>
                            <w:r>
                              <w:t xml:space="preserve">Figure </w:t>
                            </w:r>
                            <w:r>
                              <w:fldChar w:fldCharType="begin"/>
                            </w:r>
                            <w:r>
                              <w:instrText xml:space="preserve"> SEQ Figure \* ARABIC </w:instrText>
                            </w:r>
                            <w:r>
                              <w:fldChar w:fldCharType="separate"/>
                            </w:r>
                            <w:r w:rsidR="005D2CE0">
                              <w:rPr>
                                <w:noProof/>
                              </w:rPr>
                              <w:t>3</w:t>
                            </w:r>
                            <w:r>
                              <w:fldChar w:fldCharType="end"/>
                            </w:r>
                            <w:r>
                              <w:t>. FCR process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07C0C19">
              <v:shapetype id="_x0000_t202" coordsize="21600,21600" o:spt="202" path="m,l,21600r21600,l21600,xe" w14:anchorId="3319C328">
                <v:stroke joinstyle="miter"/>
                <v:path gradientshapeok="t" o:connecttype="rect"/>
              </v:shapetype>
              <v:shape id="Text Box 2" style="position:absolute;left:0;text-align:left;margin-left:-10.8pt;margin-top:122.9pt;width:169.9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">
                <v:textbox inset="0,0,0,0">
                  <w:txbxContent>
                    <w:p w:rsidRPr="00C23FC1" w:rsidR="005A5EC2" w:rsidP="005A5EC2" w:rsidRDefault="005A5EC2" w14:paraId="6288C071" w14:textId="3C92F00B">
                      <w:pPr>
                        <w:pStyle w:val="Caption"/>
                        <w:rPr>
                          <w:noProof/>
                          <w:lang w:val="fi-FI"/>
                        </w:rPr>
                      </w:pPr>
                      <w:r>
                        <w:t xml:space="preserve">Figure </w:t>
                      </w:r>
                      <w:r>
                        <w:fldChar w:fldCharType="begin"/>
                      </w:r>
                      <w:r>
                        <w:instrText xml:space="preserve"> SEQ Figure \* ARABIC </w:instrText>
                      </w:r>
                      <w:r>
                        <w:fldChar w:fldCharType="separate"/>
                      </w:r>
                      <w:r w:rsidR="005D2CE0">
                        <w:rPr>
                          <w:noProof/>
                        </w:rPr>
                        <w:t>3</w:t>
                      </w:r>
                      <w:r>
                        <w:fldChar w:fldCharType="end"/>
                      </w:r>
                      <w:r>
                        <w:t>. FCR process</w:t>
                      </w:r>
                    </w:p>
                  </w:txbxContent>
                </v:textbox>
                <w10:wrap type="square"/>
              </v:shape>
            </w:pict>
          </mc:Fallback>
        </mc:AlternateContent>
      </w:r>
      <w:r w:rsidR="4B49A93D" w:rsidRPr="0024559F">
        <w:t xml:space="preserve">Procurement </w:t>
      </w:r>
      <w:r w:rsidR="3C7C8A0B" w:rsidRPr="0024559F">
        <w:t>optimization</w:t>
      </w:r>
      <w:r w:rsidR="4B49A93D" w:rsidRPr="0024559F">
        <w:t xml:space="preserve"> function has </w:t>
      </w:r>
      <w:r w:rsidR="3265A55E" w:rsidRPr="0024559F">
        <w:t>Steps</w:t>
      </w:r>
      <w:r w:rsidR="5143E01E" w:rsidRPr="0024559F">
        <w:t xml:space="preserve"> (Figure 3</w:t>
      </w:r>
      <w:r w:rsidR="4B49A93D" w:rsidRPr="0024559F">
        <w:t xml:space="preserve">): </w:t>
      </w:r>
      <w:r w:rsidR="0AD5AC23" w:rsidRPr="0024559F">
        <w:t>Step 1.a</w:t>
      </w:r>
      <w:r w:rsidR="4B49A93D" w:rsidRPr="0024559F">
        <w:t xml:space="preserve"> without inclusion of bids marked as back-up resources and if </w:t>
      </w:r>
      <w:r w:rsidR="0AD5AC23" w:rsidRPr="0024559F">
        <w:t>Step 1.a</w:t>
      </w:r>
      <w:r w:rsidR="4B49A93D" w:rsidRPr="0024559F">
        <w:t xml:space="preserve"> does not satisfy the </w:t>
      </w:r>
      <w:r w:rsidR="5B7657C6" w:rsidRPr="0024559F">
        <w:t>reserve requirement</w:t>
      </w:r>
      <w:r w:rsidR="6FFB8786" w:rsidRPr="0024559F">
        <w:t>s</w:t>
      </w:r>
      <w:r w:rsidR="4B49A93D" w:rsidRPr="0024559F">
        <w:t xml:space="preserve"> that was provided by the TSOs, </w:t>
      </w:r>
      <w:r w:rsidR="0AD5AC23" w:rsidRPr="0024559F">
        <w:t xml:space="preserve">Step </w:t>
      </w:r>
      <w:r w:rsidR="51A770AD" w:rsidRPr="0024559F">
        <w:t>1</w:t>
      </w:r>
      <w:r w:rsidR="0AD5AC23" w:rsidRPr="0024559F">
        <w:t>.b</w:t>
      </w:r>
      <w:r w:rsidR="4B49A93D" w:rsidRPr="0024559F">
        <w:t xml:space="preserve"> involving back-up bids is </w:t>
      </w:r>
      <w:r w:rsidR="03DB9CD8" w:rsidRPr="0024559F">
        <w:t>run</w:t>
      </w:r>
      <w:r w:rsidR="4B49A93D" w:rsidRPr="0024559F">
        <w:t xml:space="preserve">. </w:t>
      </w:r>
      <w:r w:rsidR="0C371711" w:rsidRPr="0024559F">
        <w:t>Step 1.b</w:t>
      </w:r>
      <w:r w:rsidR="726E29ED" w:rsidRPr="0024559F">
        <w:t xml:space="preserve"> optimization run shall be considered final, if the algorithm provides </w:t>
      </w:r>
      <w:r w:rsidR="49D8F734" w:rsidRPr="0024559F">
        <w:t xml:space="preserve">results, regardless of </w:t>
      </w:r>
      <w:r w:rsidR="00C308F1" w:rsidRPr="0024559F">
        <w:t>fulfilment</w:t>
      </w:r>
      <w:r w:rsidR="49D8F734" w:rsidRPr="0024559F">
        <w:t xml:space="preserve"> of TSOs’ </w:t>
      </w:r>
      <w:r w:rsidR="63E5D9D1" w:rsidRPr="0024559F">
        <w:t>reserve requirements</w:t>
      </w:r>
      <w:r w:rsidR="49D8F734" w:rsidRPr="0024559F">
        <w:t>.</w:t>
      </w:r>
      <w:r w:rsidR="2A43EEC6" w:rsidRPr="0024559F">
        <w:t xml:space="preserve"> Step 2 </w:t>
      </w:r>
      <w:r w:rsidR="52799D42" w:rsidRPr="0024559F">
        <w:t>determine</w:t>
      </w:r>
      <w:r w:rsidR="06E5DE71" w:rsidRPr="0024559F">
        <w:t>s</w:t>
      </w:r>
      <w:r w:rsidR="52799D42" w:rsidRPr="0024559F">
        <w:t xml:space="preserve"> the balancing capacity price</w:t>
      </w:r>
      <w:r w:rsidR="4DF6ED00" w:rsidRPr="0024559F">
        <w:t xml:space="preserve"> </w:t>
      </w:r>
      <w:r w:rsidR="5FFCBBA2" w:rsidRPr="0024559F">
        <w:t xml:space="preserve">through taking decisions on BC pricing </w:t>
      </w:r>
      <w:r w:rsidR="682F8662" w:rsidRPr="0024559F">
        <w:t xml:space="preserve">while </w:t>
      </w:r>
      <w:r w:rsidR="4C609C12" w:rsidRPr="0024559F">
        <w:t xml:space="preserve">making sure the pricing principles </w:t>
      </w:r>
      <w:r w:rsidR="7E0A3AEA" w:rsidRPr="0024559F">
        <w:t xml:space="preserve">defined in </w:t>
      </w:r>
      <w:r w:rsidR="1B43DC0D" w:rsidRPr="0024559F">
        <w:t xml:space="preserve">Article 10 </w:t>
      </w:r>
      <w:r w:rsidR="4C609C12" w:rsidRPr="0024559F">
        <w:t xml:space="preserve">are respected. Price adjustments might be </w:t>
      </w:r>
      <w:r w:rsidR="4DF6ED00" w:rsidRPr="0024559F">
        <w:t>necessary</w:t>
      </w:r>
      <w:r w:rsidR="4C609C12" w:rsidRPr="0024559F">
        <w:t xml:space="preserve"> to ensure the </w:t>
      </w:r>
      <w:r w:rsidR="4DF6ED00" w:rsidRPr="0024559F">
        <w:t>minimum required payout for block-bids.</w:t>
      </w:r>
    </w:p>
    <w:p w14:paraId="792BCD31" w14:textId="6211D895" w:rsidR="00C255D1" w:rsidRPr="0024559F" w:rsidRDefault="00C255D1" w:rsidP="0021602B">
      <w:pPr>
        <w:jc w:val="both"/>
      </w:pPr>
      <w:r w:rsidRPr="0024559F">
        <w:rPr>
          <w:rFonts w:eastAsia="Calibri"/>
        </w:rPr>
        <w:t>Each TSO shall publish the FCR procurement results and submit to respective BSPs the FCR capacity order no later than 8:</w:t>
      </w:r>
      <w:r w:rsidR="7771295F" w:rsidRPr="0024559F">
        <w:rPr>
          <w:rFonts w:eastAsia="Calibri"/>
        </w:rPr>
        <w:t>0</w:t>
      </w:r>
      <w:r w:rsidRPr="0024559F">
        <w:rPr>
          <w:rFonts w:eastAsia="Calibri"/>
        </w:rPr>
        <w:t>0 (EET).</w:t>
      </w:r>
      <w:r w:rsidRPr="0024559F">
        <w:t xml:space="preserve">  </w:t>
      </w:r>
    </w:p>
    <w:p w14:paraId="206BD50D" w14:textId="0ED83E07" w:rsidR="00C255D1" w:rsidRPr="0024559F" w:rsidRDefault="00C255D1" w:rsidP="004D29A8">
      <w:pPr>
        <w:pStyle w:val="textregular"/>
      </w:pPr>
    </w:p>
    <w:p w14:paraId="337D6563" w14:textId="77777777" w:rsidR="005A5EC2" w:rsidRPr="0024559F" w:rsidRDefault="005A5EC2" w:rsidP="004D29A8">
      <w:pPr>
        <w:pStyle w:val="textregular"/>
        <w:rPr>
          <w:rFonts w:eastAsia="Calibri"/>
        </w:rPr>
      </w:pPr>
    </w:p>
    <w:p w14:paraId="0587F035" w14:textId="77777777" w:rsidR="005A5EC2" w:rsidRPr="0024559F" w:rsidRDefault="005A5EC2" w:rsidP="004D29A8">
      <w:pPr>
        <w:pStyle w:val="textregular"/>
        <w:rPr>
          <w:rFonts w:eastAsia="Calibri"/>
        </w:rPr>
      </w:pPr>
    </w:p>
    <w:p w14:paraId="1E6301B5" w14:textId="77777777" w:rsidR="005A5EC2" w:rsidRPr="0024559F" w:rsidRDefault="005A5EC2" w:rsidP="004D29A8">
      <w:pPr>
        <w:pStyle w:val="textregular"/>
        <w:rPr>
          <w:rFonts w:eastAsia="Calibri"/>
        </w:rPr>
      </w:pPr>
    </w:p>
    <w:p w14:paraId="63D91E20" w14:textId="50D832A0" w:rsidR="00C255D1" w:rsidRPr="0024559F" w:rsidRDefault="00C255D1" w:rsidP="001D3438">
      <w:pPr>
        <w:pStyle w:val="headline1"/>
        <w:numPr>
          <w:ilvl w:val="1"/>
          <w:numId w:val="9"/>
        </w:numPr>
        <w:rPr>
          <w:rFonts w:eastAsia="Calibri"/>
          <w:lang w:val="en-GB"/>
        </w:rPr>
      </w:pPr>
      <w:bookmarkStart w:id="16" w:name="_Toc804316461"/>
      <w:r w:rsidRPr="68683882">
        <w:rPr>
          <w:rFonts w:eastAsia="Calibri"/>
          <w:lang w:val="en-GB"/>
        </w:rPr>
        <w:t>FCR procurement algorithm</w:t>
      </w:r>
      <w:bookmarkEnd w:id="16"/>
    </w:p>
    <w:p w14:paraId="23C36D76" w14:textId="657E5793" w:rsidR="00C255D1" w:rsidRPr="0024559F" w:rsidRDefault="00C255D1" w:rsidP="00BE3E72">
      <w:pPr>
        <w:pStyle w:val="textregular"/>
      </w:pPr>
      <w:r w:rsidRPr="0024559F">
        <w:rPr>
          <w:rFonts w:eastAsia="Calibri"/>
        </w:rPr>
        <w:t xml:space="preserve">The FCR procurement algorithm shall maximize the welfare of FCR procurement while fulfilling the required FCR capacity </w:t>
      </w:r>
      <w:r w:rsidR="004B7984" w:rsidRPr="0024559F">
        <w:rPr>
          <w:rFonts w:eastAsia="Calibri"/>
        </w:rPr>
        <w:t>reserve requirements</w:t>
      </w:r>
      <w:r w:rsidRPr="0024559F">
        <w:rPr>
          <w:rFonts w:eastAsia="Calibri"/>
        </w:rPr>
        <w:t xml:space="preserve"> in the Baltic bidding zones and in Baltic LFC block. Because no CZC is to be allocated for FCR, in this process the forecast welfare for the exchange of energy is not considered.</w:t>
      </w:r>
      <w:r w:rsidR="008A0D20" w:rsidRPr="0024559F">
        <w:rPr>
          <w:rFonts w:eastAsia="Calibri"/>
        </w:rPr>
        <w:t xml:space="preserve"> </w:t>
      </w:r>
      <w:r w:rsidRPr="0024559F">
        <w:br w:type="page"/>
      </w:r>
    </w:p>
    <w:p w14:paraId="10770C98" w14:textId="147FC0C3" w:rsidR="00C255D1" w:rsidRPr="0024559F" w:rsidRDefault="00C255D1" w:rsidP="001D3438">
      <w:pPr>
        <w:pStyle w:val="headline1"/>
        <w:numPr>
          <w:ilvl w:val="1"/>
          <w:numId w:val="9"/>
        </w:numPr>
        <w:rPr>
          <w:lang w:val="en-GB"/>
        </w:rPr>
      </w:pPr>
      <w:bookmarkStart w:id="17" w:name="_Toc819132930"/>
      <w:r w:rsidRPr="68683882">
        <w:rPr>
          <w:lang w:val="en-GB"/>
        </w:rPr>
        <w:lastRenderedPageBreak/>
        <w:t>FRR process</w:t>
      </w:r>
      <w:bookmarkEnd w:id="17"/>
    </w:p>
    <w:p w14:paraId="422ADB7D" w14:textId="3C1FFE04" w:rsidR="00C255D1" w:rsidRPr="0024559F" w:rsidRDefault="00C255D1" w:rsidP="00C255D1">
      <w:pPr>
        <w:jc w:val="both"/>
        <w:rPr>
          <w:rFonts w:eastAsia="Calibri"/>
        </w:rPr>
      </w:pPr>
      <w:r w:rsidRPr="0024559F">
        <w:rPr>
          <w:rFonts w:eastAsia="Calibri"/>
        </w:rPr>
        <w:t xml:space="preserve">The reserve capacity bid closure time for the submission of mFRR and aFRR capacity bids by BSPs to the connecting TSO </w:t>
      </w:r>
      <w:r w:rsidR="006B0712" w:rsidRPr="0024559F">
        <w:rPr>
          <w:rFonts w:eastAsia="Calibri"/>
        </w:rPr>
        <w:t xml:space="preserve">for the next day </w:t>
      </w:r>
      <w:r w:rsidRPr="0024559F">
        <w:rPr>
          <w:rFonts w:eastAsia="Calibri"/>
        </w:rPr>
        <w:t>shall be no later than 9:</w:t>
      </w:r>
      <w:r w:rsidR="579110F5" w:rsidRPr="0024559F">
        <w:rPr>
          <w:rFonts w:eastAsia="Calibri"/>
        </w:rPr>
        <w:t>0</w:t>
      </w:r>
      <w:r w:rsidRPr="0024559F">
        <w:rPr>
          <w:rFonts w:eastAsia="Calibri"/>
        </w:rPr>
        <w:t>0 (EET)</w:t>
      </w:r>
      <w:r w:rsidR="006B0712" w:rsidRPr="0024559F">
        <w:rPr>
          <w:rFonts w:eastAsia="Calibri"/>
        </w:rPr>
        <w:t>.</w:t>
      </w:r>
      <w:r w:rsidRPr="0024559F">
        <w:rPr>
          <w:rFonts w:eastAsia="Calibri"/>
        </w:rPr>
        <w:t xml:space="preserve"> </w:t>
      </w:r>
    </w:p>
    <w:p w14:paraId="29D3F0F3" w14:textId="0A2F5417" w:rsidR="00C255D1" w:rsidRPr="0024559F" w:rsidRDefault="00C255D1" w:rsidP="00C255D1">
      <w:pPr>
        <w:jc w:val="both"/>
        <w:rPr>
          <w:rFonts w:eastAsia="Calibri"/>
        </w:rPr>
      </w:pPr>
    </w:p>
    <w:p w14:paraId="246101A3" w14:textId="5BF094AF" w:rsidR="00C255D1" w:rsidRDefault="00C06D5C" w:rsidP="00C255D1">
      <w:pPr>
        <w:jc w:val="both"/>
        <w:rPr>
          <w:rFonts w:eastAsia="Calibri" w:cstheme="minorHAnsi"/>
        </w:rPr>
      </w:pPr>
      <w:r w:rsidRPr="0024559F">
        <w:rPr>
          <w:noProof/>
        </w:rPr>
        <w:drawing>
          <wp:anchor distT="0" distB="0" distL="114300" distR="114300" simplePos="0" relativeHeight="251658242" behindDoc="0" locked="0" layoutInCell="1" allowOverlap="1" wp14:anchorId="6EDDD125" wp14:editId="4EDB0FEB">
            <wp:simplePos x="0" y="0"/>
            <wp:positionH relativeFrom="column">
              <wp:posOffset>-1270</wp:posOffset>
            </wp:positionH>
            <wp:positionV relativeFrom="paragraph">
              <wp:posOffset>48641</wp:posOffset>
            </wp:positionV>
            <wp:extent cx="2280920" cy="5515610"/>
            <wp:effectExtent l="0" t="0" r="5080" b="8890"/>
            <wp:wrapSquare wrapText="bothSides"/>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0920" cy="5515610"/>
                    </a:xfrm>
                    <a:prstGeom prst="rect">
                      <a:avLst/>
                    </a:prstGeom>
                    <a:noFill/>
                    <a:ln>
                      <a:noFill/>
                    </a:ln>
                  </pic:spPr>
                </pic:pic>
              </a:graphicData>
            </a:graphic>
          </wp:anchor>
        </w:drawing>
      </w:r>
      <w:r w:rsidR="00C255D1" w:rsidRPr="0024559F">
        <w:rPr>
          <w:rFonts w:eastAsia="Calibri" w:cstheme="minorHAnsi"/>
        </w:rPr>
        <w:t xml:space="preserve">Each TSO shall submit following information as an input to FRR procurement </w:t>
      </w:r>
      <w:r w:rsidR="008D2D24" w:rsidRPr="0024559F">
        <w:rPr>
          <w:rFonts w:eastAsia="Calibri" w:cstheme="minorHAnsi"/>
        </w:rPr>
        <w:t>optimization</w:t>
      </w:r>
      <w:r w:rsidR="00C255D1" w:rsidRPr="0024559F">
        <w:rPr>
          <w:rFonts w:eastAsia="Calibri" w:cstheme="minorHAnsi"/>
        </w:rPr>
        <w:t xml:space="preserve"> function run: </w:t>
      </w:r>
    </w:p>
    <w:p w14:paraId="3019119B" w14:textId="77777777" w:rsidR="00C308F1" w:rsidRPr="0024559F" w:rsidRDefault="00C308F1" w:rsidP="00C255D1">
      <w:pPr>
        <w:jc w:val="both"/>
        <w:rPr>
          <w:rFonts w:eastAsia="Calibri" w:cstheme="minorHAnsi"/>
        </w:rPr>
      </w:pPr>
    </w:p>
    <w:p w14:paraId="241DCC3E" w14:textId="1FBA94CD" w:rsidR="00756C8E" w:rsidRPr="0024559F" w:rsidRDefault="006F090B" w:rsidP="001D3438">
      <w:pPr>
        <w:pStyle w:val="ListParagraph"/>
        <w:numPr>
          <w:ilvl w:val="0"/>
          <w:numId w:val="1"/>
        </w:numPr>
        <w:rPr>
          <w:rFonts w:eastAsia="Calibri" w:cstheme="minorHAnsi"/>
          <w:lang w:val="en-GB"/>
        </w:rPr>
      </w:pPr>
      <w:r>
        <w:rPr>
          <w:rFonts w:eastAsia="Calibri" w:cstheme="minorHAnsi"/>
          <w:lang w:val="en-GB"/>
        </w:rPr>
        <w:t>a</w:t>
      </w:r>
      <w:r w:rsidR="00756C8E" w:rsidRPr="0024559F">
        <w:rPr>
          <w:rFonts w:eastAsia="Calibri" w:cstheme="minorHAnsi"/>
          <w:lang w:val="en-GB"/>
        </w:rPr>
        <w:t xml:space="preserve">ll FRR balancing capacity bids received from primary and back-up </w:t>
      </w:r>
      <w:proofErr w:type="gramStart"/>
      <w:r w:rsidR="00756C8E" w:rsidRPr="0024559F">
        <w:rPr>
          <w:rFonts w:eastAsia="Calibri" w:cstheme="minorHAnsi"/>
          <w:lang w:val="en-GB"/>
        </w:rPr>
        <w:t>resources</w:t>
      </w:r>
      <w:r>
        <w:rPr>
          <w:rFonts w:eastAsia="Calibri" w:cstheme="minorHAnsi"/>
          <w:lang w:val="en-GB"/>
        </w:rPr>
        <w:t>;</w:t>
      </w:r>
      <w:proofErr w:type="gramEnd"/>
    </w:p>
    <w:p w14:paraId="69251722" w14:textId="53EB3DE2" w:rsidR="00C255D1" w:rsidRPr="0024559F" w:rsidRDefault="006F090B" w:rsidP="001D3438">
      <w:pPr>
        <w:pStyle w:val="ListParagraph"/>
        <w:numPr>
          <w:ilvl w:val="0"/>
          <w:numId w:val="1"/>
        </w:numPr>
        <w:rPr>
          <w:rFonts w:eastAsia="Calibri"/>
          <w:lang w:val="en-GB"/>
        </w:rPr>
      </w:pPr>
      <w:r>
        <w:rPr>
          <w:rFonts w:eastAsia="Calibri"/>
          <w:lang w:val="en-GB"/>
        </w:rPr>
        <w:t>r</w:t>
      </w:r>
      <w:r w:rsidR="001A6582" w:rsidRPr="0024559F">
        <w:rPr>
          <w:rFonts w:eastAsia="Calibri"/>
          <w:lang w:val="en-GB"/>
        </w:rPr>
        <w:t>eserve requirements</w:t>
      </w:r>
      <w:r w:rsidR="00DB3E31" w:rsidRPr="0024559F">
        <w:rPr>
          <w:rFonts w:eastAsia="Calibri"/>
          <w:lang w:val="en-GB"/>
        </w:rPr>
        <w:t xml:space="preserve"> for all 3 Baltic </w:t>
      </w:r>
      <w:r w:rsidR="00AF5C19" w:rsidRPr="0024559F">
        <w:rPr>
          <w:rFonts w:eastAsia="Calibri"/>
          <w:lang w:val="en-GB"/>
        </w:rPr>
        <w:t>bidding zones</w:t>
      </w:r>
      <w:r w:rsidR="00C255D1" w:rsidRPr="0024559F">
        <w:rPr>
          <w:rFonts w:eastAsia="Calibri"/>
          <w:lang w:val="en-GB"/>
        </w:rPr>
        <w:t xml:space="preserve">: </w:t>
      </w:r>
      <w:r w:rsidR="00DB3E31" w:rsidRPr="0024559F">
        <w:rPr>
          <w:rFonts w:eastAsia="Calibri"/>
          <w:lang w:val="en-GB"/>
        </w:rPr>
        <w:t>minimal</w:t>
      </w:r>
      <w:r w:rsidR="00C255D1" w:rsidRPr="0024559F">
        <w:rPr>
          <w:rFonts w:eastAsia="Calibri"/>
          <w:lang w:val="en-GB"/>
        </w:rPr>
        <w:t xml:space="preserve"> aFRR upward, </w:t>
      </w:r>
      <w:r w:rsidR="00DB3E31" w:rsidRPr="0024559F">
        <w:rPr>
          <w:rFonts w:eastAsia="Calibri"/>
          <w:lang w:val="en-GB"/>
        </w:rPr>
        <w:t xml:space="preserve">minimal </w:t>
      </w:r>
      <w:r w:rsidR="00C255D1" w:rsidRPr="0024559F">
        <w:rPr>
          <w:rFonts w:eastAsia="Calibri"/>
          <w:lang w:val="en-GB"/>
        </w:rPr>
        <w:t xml:space="preserve">aFRR downward, </w:t>
      </w:r>
      <w:r w:rsidR="003B7EAD" w:rsidRPr="0024559F">
        <w:rPr>
          <w:rFonts w:eastAsia="Calibri"/>
          <w:lang w:val="en-GB"/>
        </w:rPr>
        <w:t xml:space="preserve">total </w:t>
      </w:r>
      <w:r w:rsidR="00C255D1" w:rsidRPr="0024559F">
        <w:rPr>
          <w:rFonts w:eastAsia="Calibri"/>
          <w:lang w:val="en-GB"/>
        </w:rPr>
        <w:t xml:space="preserve">FRR upward, </w:t>
      </w:r>
      <w:r w:rsidR="003B7EAD" w:rsidRPr="0024559F">
        <w:rPr>
          <w:rFonts w:eastAsia="Calibri"/>
          <w:lang w:val="en-GB"/>
        </w:rPr>
        <w:t>total FRR</w:t>
      </w:r>
      <w:r w:rsidR="00C255D1" w:rsidRPr="0024559F">
        <w:rPr>
          <w:rFonts w:eastAsia="Calibri"/>
          <w:lang w:val="en-GB"/>
        </w:rPr>
        <w:t xml:space="preserve"> downward in accordance with dimensioning </w:t>
      </w:r>
      <w:proofErr w:type="gramStart"/>
      <w:r w:rsidR="00C255D1" w:rsidRPr="0024559F">
        <w:rPr>
          <w:rFonts w:eastAsia="Calibri"/>
          <w:lang w:val="en-GB"/>
        </w:rPr>
        <w:t>rules;</w:t>
      </w:r>
      <w:proofErr w:type="gramEnd"/>
      <w:r w:rsidR="00C255D1" w:rsidRPr="0024559F">
        <w:rPr>
          <w:rFonts w:eastAsia="Calibri"/>
          <w:lang w:val="en-GB"/>
        </w:rPr>
        <w:t xml:space="preserve"> </w:t>
      </w:r>
    </w:p>
    <w:p w14:paraId="14BCFB95" w14:textId="02B1F6E6" w:rsidR="00C255D1" w:rsidRPr="0024559F" w:rsidRDefault="006F090B" w:rsidP="001D3438">
      <w:pPr>
        <w:pStyle w:val="ListParagraph"/>
        <w:numPr>
          <w:ilvl w:val="0"/>
          <w:numId w:val="1"/>
        </w:numPr>
        <w:rPr>
          <w:rFonts w:eastAsia="Calibri"/>
          <w:lang w:val="en-GB"/>
        </w:rPr>
      </w:pPr>
      <w:r>
        <w:rPr>
          <w:rFonts w:eastAsia="Calibri"/>
          <w:lang w:val="en-GB"/>
        </w:rPr>
        <w:t>r</w:t>
      </w:r>
      <w:r w:rsidR="001A6582" w:rsidRPr="0024559F">
        <w:rPr>
          <w:rFonts w:eastAsia="Calibri"/>
          <w:lang w:val="en-GB"/>
        </w:rPr>
        <w:t>eserve requirements</w:t>
      </w:r>
      <w:r w:rsidR="00E76115" w:rsidRPr="0024559F">
        <w:rPr>
          <w:rFonts w:eastAsia="Calibri"/>
          <w:lang w:val="en-GB"/>
        </w:rPr>
        <w:t xml:space="preserve"> for each Baltic </w:t>
      </w:r>
      <w:r w:rsidR="00AF5C19" w:rsidRPr="0024559F">
        <w:rPr>
          <w:rFonts w:eastAsia="Calibri"/>
          <w:lang w:val="en-GB"/>
        </w:rPr>
        <w:t>bidding zone</w:t>
      </w:r>
      <w:r w:rsidR="00C255D1" w:rsidRPr="0024559F">
        <w:rPr>
          <w:rFonts w:eastAsia="Calibri"/>
          <w:lang w:val="en-GB"/>
        </w:rPr>
        <w:t xml:space="preserve">: aFRR upward, aFRR downward, </w:t>
      </w:r>
      <w:r w:rsidR="00AF5C19" w:rsidRPr="0024559F">
        <w:rPr>
          <w:rFonts w:eastAsia="Calibri"/>
          <w:lang w:val="en-GB"/>
        </w:rPr>
        <w:t>total FRR</w:t>
      </w:r>
      <w:r w:rsidR="00C255D1" w:rsidRPr="0024559F">
        <w:rPr>
          <w:rFonts w:eastAsia="Calibri"/>
          <w:lang w:val="en-GB"/>
        </w:rPr>
        <w:t xml:space="preserve"> upward, </w:t>
      </w:r>
      <w:r w:rsidR="00F211A8" w:rsidRPr="0024559F">
        <w:rPr>
          <w:rFonts w:eastAsia="Calibri"/>
          <w:lang w:val="en-GB"/>
        </w:rPr>
        <w:t xml:space="preserve">total </w:t>
      </w:r>
      <w:r w:rsidR="00C255D1" w:rsidRPr="0024559F">
        <w:rPr>
          <w:rFonts w:eastAsia="Calibri"/>
          <w:lang w:val="en-GB"/>
        </w:rPr>
        <w:t xml:space="preserve">FRR downward in accordance with dimensioning rules in Baltic LFC </w:t>
      </w:r>
      <w:proofErr w:type="gramStart"/>
      <w:r w:rsidR="00C255D1" w:rsidRPr="0024559F">
        <w:rPr>
          <w:rFonts w:eastAsia="Calibri"/>
          <w:lang w:val="en-GB"/>
        </w:rPr>
        <w:t>block;</w:t>
      </w:r>
      <w:proofErr w:type="gramEnd"/>
    </w:p>
    <w:p w14:paraId="4EF565FE" w14:textId="00598956" w:rsidR="00C255D1" w:rsidRPr="0024559F" w:rsidRDefault="006F090B" w:rsidP="2C5E5AAF">
      <w:pPr>
        <w:pStyle w:val="ListParagraph"/>
        <w:numPr>
          <w:ilvl w:val="0"/>
          <w:numId w:val="1"/>
        </w:numPr>
        <w:rPr>
          <w:rFonts w:eastAsiaTheme="minorEastAsia"/>
          <w:lang w:val="en-GB"/>
        </w:rPr>
      </w:pPr>
      <w:r>
        <w:rPr>
          <w:lang w:val="en-GB"/>
        </w:rPr>
        <w:t>m</w:t>
      </w:r>
      <w:r w:rsidR="46B6122B" w:rsidRPr="0024559F">
        <w:rPr>
          <w:lang w:val="en-GB"/>
        </w:rPr>
        <w:t xml:space="preserve">inimum volume of balancing capacity to be procured </w:t>
      </w:r>
      <w:r w:rsidR="055042A1" w:rsidRPr="0024559F">
        <w:rPr>
          <w:lang w:val="en-GB"/>
        </w:rPr>
        <w:t>i</w:t>
      </w:r>
      <w:r w:rsidR="46B6122B" w:rsidRPr="0024559F">
        <w:rPr>
          <w:lang w:val="en-GB"/>
        </w:rPr>
        <w:t xml:space="preserve">n </w:t>
      </w:r>
      <w:r w:rsidR="7079B8EE" w:rsidRPr="0024559F">
        <w:rPr>
          <w:lang w:val="en-GB"/>
        </w:rPr>
        <w:t>each bidding</w:t>
      </w:r>
      <w:r w:rsidR="46B6122B" w:rsidRPr="0024559F">
        <w:rPr>
          <w:lang w:val="en-GB"/>
        </w:rPr>
        <w:t xml:space="preserve"> </w:t>
      </w:r>
      <w:r w:rsidR="084F6502" w:rsidRPr="0024559F">
        <w:rPr>
          <w:lang w:val="en-GB"/>
        </w:rPr>
        <w:t>zone,</w:t>
      </w:r>
      <w:r w:rsidR="46B6122B" w:rsidRPr="0024559F">
        <w:rPr>
          <w:lang w:val="en-GB"/>
        </w:rPr>
        <w:t xml:space="preserve"> if </w:t>
      </w:r>
      <w:proofErr w:type="gramStart"/>
      <w:r w:rsidR="46B6122B" w:rsidRPr="0024559F">
        <w:rPr>
          <w:lang w:val="en-GB"/>
        </w:rPr>
        <w:t>applicable;</w:t>
      </w:r>
      <w:proofErr w:type="gramEnd"/>
    </w:p>
    <w:p w14:paraId="375697AB" w14:textId="05F64911" w:rsidR="00C255D1" w:rsidRPr="0024559F" w:rsidRDefault="006F090B" w:rsidP="001D3438">
      <w:pPr>
        <w:pStyle w:val="ListParagraph"/>
        <w:numPr>
          <w:ilvl w:val="0"/>
          <w:numId w:val="1"/>
        </w:numPr>
        <w:rPr>
          <w:rFonts w:eastAsia="Calibri" w:cstheme="minorHAnsi"/>
          <w:lang w:val="en-GB"/>
        </w:rPr>
      </w:pPr>
      <w:r>
        <w:rPr>
          <w:rFonts w:eastAsia="Calibri" w:cstheme="minorHAnsi"/>
          <w:lang w:val="en-GB"/>
        </w:rPr>
        <w:t>c</w:t>
      </w:r>
      <w:r w:rsidR="00C255D1" w:rsidRPr="0024559F">
        <w:rPr>
          <w:rFonts w:eastAsia="Calibri" w:cstheme="minorHAnsi"/>
          <w:lang w:val="en-GB"/>
        </w:rPr>
        <w:t xml:space="preserve">ross-zonal capacities available for allocation for FRR exchange and sharing in accordance with default and increased percentage limits defined in Article 5(1) of the </w:t>
      </w:r>
      <w:r w:rsidR="00967003" w:rsidRPr="0024559F">
        <w:rPr>
          <w:rFonts w:eastAsia="Calibri" w:cstheme="minorHAnsi"/>
          <w:lang w:val="en-GB"/>
        </w:rPr>
        <w:t>Methodology</w:t>
      </w:r>
      <w:r w:rsidR="00C255D1" w:rsidRPr="0024559F">
        <w:rPr>
          <w:rFonts w:eastAsia="Calibri" w:cstheme="minorHAnsi"/>
          <w:lang w:val="en-GB"/>
        </w:rPr>
        <w:t xml:space="preserve"> for market-based capacity </w:t>
      </w:r>
      <w:proofErr w:type="gramStart"/>
      <w:r w:rsidR="00C255D1" w:rsidRPr="0024559F">
        <w:rPr>
          <w:rFonts w:eastAsia="Calibri" w:cstheme="minorHAnsi"/>
          <w:lang w:val="en-GB"/>
        </w:rPr>
        <w:t>allocation;</w:t>
      </w:r>
      <w:proofErr w:type="gramEnd"/>
      <w:r w:rsidR="00C255D1" w:rsidRPr="0024559F">
        <w:rPr>
          <w:rFonts w:eastAsia="Calibri" w:cstheme="minorHAnsi"/>
          <w:lang w:val="en-GB"/>
        </w:rPr>
        <w:t xml:space="preserve"> </w:t>
      </w:r>
    </w:p>
    <w:p w14:paraId="09F5012C" w14:textId="545DCAB7" w:rsidR="00C255D1" w:rsidRPr="0024559F" w:rsidRDefault="006F090B" w:rsidP="001D3438">
      <w:pPr>
        <w:pStyle w:val="ListParagraph"/>
        <w:numPr>
          <w:ilvl w:val="0"/>
          <w:numId w:val="1"/>
        </w:numPr>
        <w:rPr>
          <w:rFonts w:eastAsia="Calibri"/>
          <w:lang w:val="en-GB"/>
        </w:rPr>
      </w:pPr>
      <w:r>
        <w:rPr>
          <w:rFonts w:eastAsia="Calibri" w:cstheme="minorHAnsi"/>
          <w:lang w:val="en-GB"/>
        </w:rPr>
        <w:t>t</w:t>
      </w:r>
      <w:r w:rsidR="005F6DF5" w:rsidRPr="0024559F">
        <w:rPr>
          <w:rFonts w:eastAsia="Calibri" w:cstheme="minorHAnsi"/>
          <w:lang w:val="en-GB"/>
        </w:rPr>
        <w:t xml:space="preserve">otal cross-zonal capacities available for </w:t>
      </w:r>
      <w:r w:rsidR="00735CED" w:rsidRPr="0024559F">
        <w:rPr>
          <w:rFonts w:eastAsia="Calibri" w:cstheme="minorHAnsi"/>
          <w:lang w:val="en-GB"/>
        </w:rPr>
        <w:t>the combination</w:t>
      </w:r>
      <w:r w:rsidR="00C255D1" w:rsidRPr="0024559F">
        <w:rPr>
          <w:rFonts w:eastAsia="Calibri" w:cstheme="minorHAnsi"/>
          <w:lang w:val="en-GB"/>
        </w:rPr>
        <w:t xml:space="preserve"> of </w:t>
      </w:r>
      <w:r w:rsidR="005F6DF5" w:rsidRPr="0024559F">
        <w:rPr>
          <w:rFonts w:eastAsia="Calibri" w:cstheme="minorHAnsi"/>
          <w:lang w:val="en-GB"/>
        </w:rPr>
        <w:t>allocation for FRR exchange and sharing</w:t>
      </w:r>
      <w:r w:rsidR="00735CED" w:rsidRPr="0024559F">
        <w:rPr>
          <w:rFonts w:eastAsia="Calibri" w:cstheme="minorHAnsi"/>
          <w:lang w:val="en-GB"/>
        </w:rPr>
        <w:t xml:space="preserve"> and for the exchange of </w:t>
      </w:r>
      <w:proofErr w:type="gramStart"/>
      <w:r w:rsidR="00735CED" w:rsidRPr="0024559F">
        <w:rPr>
          <w:rFonts w:eastAsia="Calibri" w:cstheme="minorHAnsi"/>
          <w:lang w:val="en-GB"/>
        </w:rPr>
        <w:t>energy</w:t>
      </w:r>
      <w:r w:rsidR="005F6DF5" w:rsidRPr="0024559F">
        <w:rPr>
          <w:rFonts w:eastAsia="Calibri" w:cstheme="minorHAnsi"/>
          <w:lang w:val="en-GB"/>
        </w:rPr>
        <w:t>;</w:t>
      </w:r>
      <w:proofErr w:type="gramEnd"/>
      <w:r w:rsidR="00C255D1" w:rsidRPr="0024559F">
        <w:rPr>
          <w:rFonts w:eastAsia="Calibri" w:cstheme="minorHAnsi"/>
          <w:lang w:val="en-GB"/>
        </w:rPr>
        <w:t xml:space="preserve"> </w:t>
      </w:r>
    </w:p>
    <w:p w14:paraId="3454B8AD" w14:textId="563980EA" w:rsidR="00C255D1" w:rsidRPr="0024559F" w:rsidRDefault="006F090B" w:rsidP="001D3438">
      <w:pPr>
        <w:pStyle w:val="ListParagraph"/>
        <w:numPr>
          <w:ilvl w:val="0"/>
          <w:numId w:val="1"/>
        </w:numPr>
        <w:rPr>
          <w:rFonts w:eastAsia="Calibri"/>
          <w:lang w:val="en-GB"/>
        </w:rPr>
      </w:pPr>
      <w:r w:rsidRPr="68683882">
        <w:rPr>
          <w:rFonts w:eastAsia="Calibri"/>
          <w:lang w:val="en-GB"/>
        </w:rPr>
        <w:t>t</w:t>
      </w:r>
      <w:r w:rsidR="00C255D1" w:rsidRPr="68683882">
        <w:rPr>
          <w:rFonts w:eastAsia="Calibri"/>
          <w:lang w:val="en-GB"/>
        </w:rPr>
        <w:t xml:space="preserve">he forecasted market value of cross-zonal capacity for each bidding zone border in the day-ahead market timeframe defined in accordance with </w:t>
      </w:r>
      <w:r w:rsidR="0A097734" w:rsidRPr="68683882">
        <w:rPr>
          <w:rFonts w:eastAsia="Calibri"/>
          <w:lang w:val="en-GB"/>
        </w:rPr>
        <w:t xml:space="preserve">the </w:t>
      </w:r>
      <w:r w:rsidR="00FD4839" w:rsidRPr="68683882">
        <w:rPr>
          <w:rFonts w:eastAsia="Calibri"/>
          <w:lang w:val="en-GB"/>
        </w:rPr>
        <w:t>Methodology</w:t>
      </w:r>
      <w:r w:rsidR="00C255D1" w:rsidRPr="68683882">
        <w:rPr>
          <w:rFonts w:eastAsia="Calibri"/>
          <w:lang w:val="en-GB"/>
        </w:rPr>
        <w:t xml:space="preserve"> for market-based capacity allocation</w:t>
      </w:r>
      <w:r w:rsidR="007C5DCC" w:rsidRPr="68683882">
        <w:rPr>
          <w:rFonts w:eastAsia="Calibri"/>
          <w:lang w:val="en-GB"/>
        </w:rPr>
        <w:t>.</w:t>
      </w:r>
      <w:r w:rsidR="00C255D1" w:rsidRPr="68683882">
        <w:rPr>
          <w:rFonts w:eastAsia="Calibri"/>
          <w:lang w:val="en-GB"/>
        </w:rPr>
        <w:t xml:space="preserve"> </w:t>
      </w:r>
    </w:p>
    <w:p w14:paraId="45BE713B" w14:textId="6812421C" w:rsidR="00D25EDA" w:rsidRPr="0024559F" w:rsidRDefault="00C255D1" w:rsidP="00C255D1">
      <w:pPr>
        <w:jc w:val="both"/>
      </w:pPr>
      <w:r w:rsidRPr="0024559F">
        <w:t xml:space="preserve">Procurement optimisation function has </w:t>
      </w:r>
      <w:r w:rsidR="00F4189F" w:rsidRPr="0024559F">
        <w:t>two</w:t>
      </w:r>
      <w:r w:rsidR="00844227" w:rsidRPr="0024559F">
        <w:t xml:space="preserve"> Steps </w:t>
      </w:r>
      <w:r w:rsidRPr="0024559F">
        <w:t xml:space="preserve">runs </w:t>
      </w:r>
      <w:r w:rsidR="00D92247" w:rsidRPr="0024559F">
        <w:t>as explained in</w:t>
      </w:r>
      <w:r w:rsidRPr="0024559F">
        <w:t xml:space="preserve"> </w:t>
      </w:r>
      <w:r w:rsidR="00D92247" w:rsidRPr="0024559F">
        <w:t>(</w:t>
      </w:r>
      <w:r w:rsidR="00ED5B88" w:rsidRPr="0024559F">
        <w:t>Figure 4</w:t>
      </w:r>
      <w:r w:rsidR="00D92247" w:rsidRPr="0024559F">
        <w:t xml:space="preserve">). </w:t>
      </w:r>
      <w:r w:rsidR="000C5F27" w:rsidRPr="0024559F">
        <w:t xml:space="preserve">The first major step is divided into smaller steps, of which the first one is mandatory. The second smaller steps categorized under Step 1 are only executed in case the </w:t>
      </w:r>
      <w:r w:rsidR="00FC2378" w:rsidRPr="0024559F">
        <w:t xml:space="preserve">algorithm has failed to </w:t>
      </w:r>
      <w:r w:rsidR="004B3674" w:rsidRPr="0024559F">
        <w:t>fulfil</w:t>
      </w:r>
      <w:r w:rsidR="00FC2378" w:rsidRPr="0024559F">
        <w:t xml:space="preserve"> TSO reserve requirement in the previous steps</w:t>
      </w:r>
      <w:r w:rsidR="00D25EDA" w:rsidRPr="0024559F">
        <w:t>.</w:t>
      </w:r>
    </w:p>
    <w:p w14:paraId="1816E661" w14:textId="7E270902" w:rsidR="006E1C97" w:rsidRPr="0024559F" w:rsidRDefault="00C06D5C" w:rsidP="1413E2D0">
      <w:pPr>
        <w:jc w:val="both"/>
      </w:pPr>
      <w:r w:rsidRPr="0024559F">
        <w:rPr>
          <w:noProof/>
        </w:rPr>
        <mc:AlternateContent>
          <mc:Choice Requires="wps">
            <w:drawing>
              <wp:anchor distT="0" distB="0" distL="114300" distR="114300" simplePos="0" relativeHeight="251658241" behindDoc="0" locked="0" layoutInCell="1" allowOverlap="1" wp14:anchorId="14DDECC8" wp14:editId="50ADEC01">
                <wp:simplePos x="0" y="0"/>
                <wp:positionH relativeFrom="margin">
                  <wp:align>left</wp:align>
                </wp:positionH>
                <wp:positionV relativeFrom="paragraph">
                  <wp:posOffset>158115</wp:posOffset>
                </wp:positionV>
                <wp:extent cx="2280920" cy="635"/>
                <wp:effectExtent l="0" t="0" r="5080" b="8255"/>
                <wp:wrapSquare wrapText="bothSides"/>
                <wp:docPr id="3" name="Text Box 3"/>
                <wp:cNvGraphicFramePr/>
                <a:graphic xmlns:a="http://schemas.openxmlformats.org/drawingml/2006/main">
                  <a:graphicData uri="http://schemas.microsoft.com/office/word/2010/wordprocessingShape">
                    <wps:wsp>
                      <wps:cNvSpPr txBox="1"/>
                      <wps:spPr>
                        <a:xfrm>
                          <a:off x="0" y="0"/>
                          <a:ext cx="2280920" cy="635"/>
                        </a:xfrm>
                        <a:prstGeom prst="rect">
                          <a:avLst/>
                        </a:prstGeom>
                        <a:solidFill>
                          <a:prstClr val="white"/>
                        </a:solidFill>
                        <a:ln>
                          <a:noFill/>
                        </a:ln>
                      </wps:spPr>
                      <wps:txbx>
                        <w:txbxContent>
                          <w:p w14:paraId="4407348C" w14:textId="4F1E0E06" w:rsidR="005D2CE0" w:rsidRPr="000E1131" w:rsidRDefault="005D2CE0" w:rsidP="005D2CE0">
                            <w:pPr>
                              <w:pStyle w:val="Caption"/>
                              <w:rPr>
                                <w:noProof/>
                              </w:rPr>
                            </w:pPr>
                            <w:r>
                              <w:t xml:space="preserve">Figure </w:t>
                            </w:r>
                            <w:r>
                              <w:fldChar w:fldCharType="begin"/>
                            </w:r>
                            <w:r>
                              <w:instrText xml:space="preserve"> SEQ Figure \* ARABIC </w:instrText>
                            </w:r>
                            <w:r>
                              <w:fldChar w:fldCharType="separate"/>
                            </w:r>
                            <w:r>
                              <w:rPr>
                                <w:noProof/>
                              </w:rPr>
                              <w:t>4</w:t>
                            </w:r>
                            <w:r>
                              <w:fldChar w:fldCharType="end"/>
                            </w:r>
                            <w:r>
                              <w:t>. FRR process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5B0954BD">
              <v:shape id="Text Box 3" style="position:absolute;left:0;text-align:left;margin-left:0;margin-top:12.45pt;width:179.6pt;height:.05pt;z-index:251658241;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" w14:anchorId="14DDECC8">
                <v:textbox style="mso-fit-shape-to-text:t" inset="0,0,0,0">
                  <w:txbxContent>
                    <w:p w:rsidRPr="000E1131" w:rsidR="005D2CE0" w:rsidP="005D2CE0" w:rsidRDefault="005D2CE0" w14:paraId="498F5A0B" w14:textId="4F1E0E06">
                      <w:pPr>
                        <w:pStyle w:val="Caption"/>
                        <w:rPr>
                          <w:noProof/>
                        </w:rPr>
                      </w:pPr>
                      <w:r>
                        <w:t xml:space="preserve">Figure </w:t>
                      </w:r>
                      <w:r>
                        <w:fldChar w:fldCharType="begin"/>
                      </w:r>
                      <w:r>
                        <w:instrText xml:space="preserve"> SEQ Figure \* ARABIC </w:instrText>
                      </w:r>
                      <w:r>
                        <w:fldChar w:fldCharType="separate"/>
                      </w:r>
                      <w:r>
                        <w:rPr>
                          <w:noProof/>
                        </w:rPr>
                        <w:t>4</w:t>
                      </w:r>
                      <w:r>
                        <w:fldChar w:fldCharType="end"/>
                      </w:r>
                      <w:r>
                        <w:t>. FRR process</w:t>
                      </w:r>
                    </w:p>
                  </w:txbxContent>
                </v:textbox>
                <w10:wrap type="square" anchorx="margin"/>
              </v:shape>
            </w:pict>
          </mc:Fallback>
        </mc:AlternateContent>
      </w:r>
      <w:r w:rsidR="00844227" w:rsidRPr="0024559F">
        <w:t>Step 1.a</w:t>
      </w:r>
      <w:r w:rsidR="00C255D1" w:rsidRPr="0024559F">
        <w:t xml:space="preserve"> </w:t>
      </w:r>
      <w:r w:rsidR="00D92247" w:rsidRPr="0024559F">
        <w:t xml:space="preserve">is executed </w:t>
      </w:r>
      <w:r w:rsidR="00C255D1" w:rsidRPr="0024559F">
        <w:t xml:space="preserve">without inclusion of bids marked as back-up resources and application of cross-zonal capacity limits according to default maximum volume of cross-zonal capacity (Limit 1) in accordance with </w:t>
      </w:r>
      <w:r w:rsidR="00FD4839" w:rsidRPr="0024559F">
        <w:rPr>
          <w:rFonts w:eastAsia="Calibri"/>
        </w:rPr>
        <w:t>M</w:t>
      </w:r>
      <w:r w:rsidR="00C255D1" w:rsidRPr="0024559F">
        <w:rPr>
          <w:rFonts w:eastAsia="Calibri"/>
        </w:rPr>
        <w:t>ethodology for market-based capacity allocation</w:t>
      </w:r>
      <w:r w:rsidR="00C255D1" w:rsidRPr="0024559F">
        <w:t xml:space="preserve">. </w:t>
      </w:r>
    </w:p>
    <w:p w14:paraId="192223B8" w14:textId="1019C1C6" w:rsidR="00A10090" w:rsidRPr="0024559F" w:rsidRDefault="00C255D1" w:rsidP="1413E2D0">
      <w:pPr>
        <w:jc w:val="both"/>
      </w:pPr>
      <w:r>
        <w:t xml:space="preserve">If </w:t>
      </w:r>
      <w:r w:rsidR="00D773C6">
        <w:t>Step 1.a</w:t>
      </w:r>
      <w:r>
        <w:t xml:space="preserve"> of the optimization does not provide results that satisfy the </w:t>
      </w:r>
      <w:r w:rsidR="00101028">
        <w:t xml:space="preserve">reserve requirements </w:t>
      </w:r>
      <w:r>
        <w:t xml:space="preserve">which was provided by the TSOs, </w:t>
      </w:r>
      <w:r w:rsidR="00D773C6">
        <w:t>Step 1.b shall be executed</w:t>
      </w:r>
      <w:r>
        <w:t xml:space="preserve"> S</w:t>
      </w:r>
      <w:r w:rsidR="00D773C6">
        <w:t>tep 1.b</w:t>
      </w:r>
      <w:r>
        <w:t xml:space="preserve"> of the algorithm will ensue </w:t>
      </w:r>
      <w:r w:rsidRPr="68683882">
        <w:rPr>
          <w:u w:val="single"/>
        </w:rPr>
        <w:t>without inclusion of back-up resources</w:t>
      </w:r>
      <w:r>
        <w:t xml:space="preserve"> and with application</w:t>
      </w:r>
      <w:r w:rsidR="00FA44F6">
        <w:t xml:space="preserve"> of extension of CZC allocation limit for BC up to </w:t>
      </w:r>
      <w:r>
        <w:t>the second limit (Limit 2) of maximum volume of cross-zonal capacity in accordance with</w:t>
      </w:r>
      <w:r w:rsidR="1B1A29E5">
        <w:t xml:space="preserve"> the</w:t>
      </w:r>
      <w:r>
        <w:t xml:space="preserve"> </w:t>
      </w:r>
      <w:r w:rsidR="00FD4839" w:rsidRPr="68683882">
        <w:rPr>
          <w:rFonts w:eastAsia="Calibri"/>
        </w:rPr>
        <w:t>M</w:t>
      </w:r>
      <w:r w:rsidRPr="68683882">
        <w:rPr>
          <w:rFonts w:eastAsia="Calibri"/>
        </w:rPr>
        <w:t>ethodology for market-based capacity allocation</w:t>
      </w:r>
      <w:r>
        <w:t xml:space="preserve">. In </w:t>
      </w:r>
      <w:r w:rsidR="00BB6FA2">
        <w:t>Step 1.b</w:t>
      </w:r>
      <w:r>
        <w:t xml:space="preserve">, the cross-zonal capacity is increased in a </w:t>
      </w:r>
      <w:r w:rsidR="004B3674">
        <w:t>stepwise</w:t>
      </w:r>
      <w:r>
        <w:t xml:space="preserve"> manner by increasing Limit 1 by 1% until Limit 2 until the </w:t>
      </w:r>
      <w:r w:rsidR="00101028">
        <w:t>reserve requirements</w:t>
      </w:r>
      <w:r>
        <w:t xml:space="preserve"> of TSOs </w:t>
      </w:r>
      <w:r w:rsidR="00911BE7">
        <w:t>are</w:t>
      </w:r>
      <w:r>
        <w:t xml:space="preserve"> satisfied or the increased maximum cross-zonal capacity limit is reached. </w:t>
      </w:r>
    </w:p>
    <w:p w14:paraId="05A636FA" w14:textId="7006181B" w:rsidR="00C255D1" w:rsidRPr="0024559F" w:rsidRDefault="00C255D1" w:rsidP="1413E2D0">
      <w:pPr>
        <w:jc w:val="both"/>
      </w:pPr>
      <w:r w:rsidRPr="0024559F">
        <w:t xml:space="preserve">If </w:t>
      </w:r>
      <w:r w:rsidR="00D57A1D" w:rsidRPr="0024559F">
        <w:t>Step 1.b</w:t>
      </w:r>
      <w:r w:rsidRPr="0024559F">
        <w:t xml:space="preserve"> does not provide the results that satisfy the TSO </w:t>
      </w:r>
      <w:r w:rsidR="00D86F5A" w:rsidRPr="0024559F">
        <w:t>reserve requirements</w:t>
      </w:r>
      <w:r w:rsidRPr="0024559F">
        <w:t xml:space="preserve">, then </w:t>
      </w:r>
      <w:r w:rsidR="00DC0E66" w:rsidRPr="0024559F">
        <w:t>Step 1.c</w:t>
      </w:r>
      <w:r w:rsidRPr="0024559F">
        <w:t xml:space="preserve"> of the algorithm ensues. In </w:t>
      </w:r>
      <w:r w:rsidR="00DC0E66" w:rsidRPr="0024559F">
        <w:t>Step 1.c</w:t>
      </w:r>
      <w:r w:rsidRPr="0024559F">
        <w:t xml:space="preserve"> algorithm run the </w:t>
      </w:r>
      <w:r w:rsidR="008D4C3B" w:rsidRPr="0024559F">
        <w:t xml:space="preserve">bids from </w:t>
      </w:r>
      <w:r w:rsidRPr="0024559F">
        <w:rPr>
          <w:u w:val="single"/>
        </w:rPr>
        <w:t xml:space="preserve">back-up </w:t>
      </w:r>
      <w:r w:rsidR="008D4C3B" w:rsidRPr="0024559F">
        <w:rPr>
          <w:u w:val="single"/>
        </w:rPr>
        <w:t>resources</w:t>
      </w:r>
      <w:r w:rsidRPr="0024559F">
        <w:rPr>
          <w:u w:val="single"/>
        </w:rPr>
        <w:t xml:space="preserve"> are included</w:t>
      </w:r>
      <w:r w:rsidRPr="0024559F">
        <w:t xml:space="preserve"> and the </w:t>
      </w:r>
      <w:r w:rsidR="008D4C3B" w:rsidRPr="0024559F">
        <w:t xml:space="preserve">procedure of </w:t>
      </w:r>
      <w:r w:rsidRPr="0024559F">
        <w:t>increas</w:t>
      </w:r>
      <w:r w:rsidR="008D4C3B" w:rsidRPr="0024559F">
        <w:t>ing the</w:t>
      </w:r>
      <w:r w:rsidRPr="0024559F">
        <w:t xml:space="preserve"> maximum cross-zonal capacity limit </w:t>
      </w:r>
      <w:r w:rsidR="008D4C3B" w:rsidRPr="0024559F">
        <w:t xml:space="preserve">can be </w:t>
      </w:r>
      <w:r w:rsidRPr="0024559F">
        <w:t xml:space="preserve">used. For the optimization, the cross-zonal capacity is increased in a </w:t>
      </w:r>
      <w:r w:rsidR="004B3674" w:rsidRPr="0024559F">
        <w:t>stepwise</w:t>
      </w:r>
      <w:r w:rsidRPr="0024559F">
        <w:t xml:space="preserve"> manner until the </w:t>
      </w:r>
      <w:r w:rsidR="00442AC6" w:rsidRPr="0024559F">
        <w:t>reserve requirement</w:t>
      </w:r>
      <w:r w:rsidRPr="0024559F">
        <w:t xml:space="preserve"> of TSOs is satisfied or the cross-</w:t>
      </w:r>
      <w:r w:rsidRPr="0024559F">
        <w:lastRenderedPageBreak/>
        <w:t xml:space="preserve">zonal capacity limit is reached. </w:t>
      </w:r>
      <w:r w:rsidR="002C3462" w:rsidRPr="0024559F">
        <w:t xml:space="preserve">Step 1.c </w:t>
      </w:r>
      <w:r w:rsidR="00336D13" w:rsidRPr="0024559F">
        <w:t xml:space="preserve">optimization run shall be considered final if the algorithm provides results, regardless of </w:t>
      </w:r>
      <w:r w:rsidR="0029737D" w:rsidRPr="0024559F">
        <w:t>fulfilment</w:t>
      </w:r>
      <w:r w:rsidR="00336D13" w:rsidRPr="0024559F">
        <w:t xml:space="preserve"> of TSOs’ </w:t>
      </w:r>
      <w:r w:rsidR="00E2094D" w:rsidRPr="0024559F">
        <w:t>reserve requirement</w:t>
      </w:r>
      <w:r w:rsidR="00336D13" w:rsidRPr="0024559F">
        <w:t xml:space="preserve">. </w:t>
      </w:r>
    </w:p>
    <w:p w14:paraId="0961E2ED" w14:textId="52F74C70" w:rsidR="00F4189F" w:rsidRPr="0024559F" w:rsidRDefault="00C41515" w:rsidP="1413E2D0">
      <w:pPr>
        <w:jc w:val="both"/>
      </w:pPr>
      <w:r w:rsidRPr="0024559F">
        <w:t>Step 2 determines the balancing capacity price</w:t>
      </w:r>
      <w:r w:rsidR="00F4189F" w:rsidRPr="0024559F">
        <w:t xml:space="preserve"> through taking decisions on BC pricing while making sure the pricing principles defined in Article 10 are respected. Price adjustments might be necessary to ensure the minimum required payout for block-bids.</w:t>
      </w:r>
    </w:p>
    <w:p w14:paraId="5497C765" w14:textId="1826AE9B" w:rsidR="00C255D1" w:rsidRPr="0024559F" w:rsidRDefault="00C255D1" w:rsidP="00C255D1">
      <w:pPr>
        <w:spacing w:after="160" w:line="259" w:lineRule="auto"/>
        <w:jc w:val="both"/>
        <w:rPr>
          <w:rFonts w:eastAsia="Calibri" w:cstheme="minorHAnsi"/>
        </w:rPr>
      </w:pPr>
      <w:r w:rsidRPr="0024559F">
        <w:rPr>
          <w:rFonts w:eastAsia="Calibri" w:cstheme="minorHAnsi"/>
        </w:rPr>
        <w:t>Each TSO shall publish the FRR procurement results and submit to respective BSPs the aFRR and mFRR capacity order no later than 10:00 (EET).</w:t>
      </w:r>
    </w:p>
    <w:p w14:paraId="5DC95ED5" w14:textId="08DC904F" w:rsidR="00C255D1" w:rsidRPr="0024559F" w:rsidRDefault="367C47C0" w:rsidP="001D3438">
      <w:pPr>
        <w:pStyle w:val="headline1"/>
        <w:numPr>
          <w:ilvl w:val="1"/>
          <w:numId w:val="9"/>
        </w:numPr>
        <w:rPr>
          <w:rFonts w:eastAsia="Calibri"/>
          <w:lang w:val="en-GB"/>
        </w:rPr>
      </w:pPr>
      <w:bookmarkStart w:id="18" w:name="_Toc1326105706"/>
      <w:r w:rsidRPr="68683882">
        <w:rPr>
          <w:rFonts w:eastAsia="Calibri"/>
          <w:lang w:val="en-GB"/>
        </w:rPr>
        <w:t>FRR balancing capacity procurement algorithm</w:t>
      </w:r>
      <w:bookmarkEnd w:id="18"/>
    </w:p>
    <w:p w14:paraId="10AFC2A8" w14:textId="2528CA85" w:rsidR="00E07DF5" w:rsidRPr="0024559F" w:rsidRDefault="00E07DF5" w:rsidP="00E07DF5">
      <w:pPr>
        <w:pStyle w:val="textregular"/>
        <w:rPr>
          <w:rFonts w:eastAsia="Calibri"/>
        </w:rPr>
      </w:pPr>
      <w:r w:rsidRPr="0024559F">
        <w:rPr>
          <w:rFonts w:eastAsia="Calibri"/>
        </w:rPr>
        <w:t xml:space="preserve">The FRR balancing capacity procurement algorithm shall clear the market simultaneously for the four </w:t>
      </w:r>
      <w:proofErr w:type="gramStart"/>
      <w:r w:rsidRPr="0024559F">
        <w:rPr>
          <w:rFonts w:eastAsia="Calibri"/>
        </w:rPr>
        <w:t>FRR  products</w:t>
      </w:r>
      <w:proofErr w:type="gramEnd"/>
      <w:r w:rsidRPr="0024559F">
        <w:rPr>
          <w:rFonts w:eastAsia="Calibri"/>
        </w:rPr>
        <w:t xml:space="preserve">: aFRR up, aFRR down, mFRR up and mFRR down; while optimizing CZC allocation for the exchange balancing capacity, sharing of reserves and exchange of energy. The objective of step one of the procurement </w:t>
      </w:r>
      <w:proofErr w:type="gramStart"/>
      <w:r w:rsidRPr="0024559F">
        <w:rPr>
          <w:rFonts w:eastAsia="Calibri"/>
        </w:rPr>
        <w:t>algorithm</w:t>
      </w:r>
      <w:proofErr w:type="gramEnd"/>
      <w:r w:rsidRPr="0024559F">
        <w:rPr>
          <w:rFonts w:eastAsia="Calibri"/>
        </w:rPr>
        <w:t xml:space="preserve"> shall be the maximization of the combination of forecast welfare on the day-ahead market and the actual welfare of the FRR market. In Step 2, the price of balancing capacity is determined according to the selected bids and allocated CZC.</w:t>
      </w:r>
    </w:p>
    <w:p w14:paraId="41CB5051" w14:textId="77777777" w:rsidR="00C255D1" w:rsidRPr="0024559F" w:rsidRDefault="00C255D1" w:rsidP="00C255D1">
      <w:pPr>
        <w:pStyle w:val="textregular"/>
        <w:rPr>
          <w:rFonts w:eastAsia="Calibri"/>
        </w:rPr>
      </w:pPr>
      <w:r w:rsidRPr="0024559F">
        <w:rPr>
          <w:rFonts w:eastAsia="Calibri"/>
        </w:rPr>
        <w:t>The mathematical representation of the balancing capacity procurement algorithm is represented in greater detail in the Explanatory document to Baltic CCR TSOs proposal in accordance with Article 41(1) of the Commission Regulation (EU) 2017/2195 of 23 November 2017 establishing a guideline on electricity balancing.</w:t>
      </w:r>
    </w:p>
    <w:p w14:paraId="6E76F48F" w14:textId="2B9D257E" w:rsidR="00C255D1" w:rsidRPr="0024559F" w:rsidRDefault="00C255D1" w:rsidP="001D3438">
      <w:pPr>
        <w:pStyle w:val="headline1"/>
        <w:numPr>
          <w:ilvl w:val="1"/>
          <w:numId w:val="9"/>
        </w:numPr>
        <w:rPr>
          <w:rFonts w:eastAsia="Calibri"/>
          <w:lang w:val="en-GB"/>
        </w:rPr>
      </w:pPr>
      <w:bookmarkStart w:id="19" w:name="_Toc2051351429"/>
      <w:r w:rsidRPr="68683882">
        <w:rPr>
          <w:rFonts w:eastAsia="Calibri"/>
          <w:lang w:val="en-GB"/>
        </w:rPr>
        <w:t>CZC allocation for balancing capacity</w:t>
      </w:r>
      <w:bookmarkEnd w:id="19"/>
    </w:p>
    <w:p w14:paraId="21A058EE" w14:textId="5CEA7988" w:rsidR="00C255D1" w:rsidRPr="0024559F" w:rsidRDefault="00C255D1" w:rsidP="00C255D1">
      <w:pPr>
        <w:pStyle w:val="textregular"/>
        <w:rPr>
          <w:rFonts w:eastAsia="Calibri"/>
        </w:rPr>
      </w:pPr>
      <w:r w:rsidRPr="0024559F">
        <w:rPr>
          <w:rFonts w:eastAsia="Calibri"/>
        </w:rPr>
        <w:t>According to the welfare maximization objective of the algorithm, CZC shall be allocated for balancing capacity i</w:t>
      </w:r>
      <w:r w:rsidR="52843306" w:rsidRPr="0024559F">
        <w:rPr>
          <w:rFonts w:eastAsia="Calibri"/>
        </w:rPr>
        <w:t>f</w:t>
      </w:r>
      <w:r w:rsidRPr="0024559F">
        <w:rPr>
          <w:rFonts w:eastAsia="Calibri"/>
        </w:rPr>
        <w:t xml:space="preserve"> the welfare of using CZC for balancing is higher than forecast welfare for using CZC for the exchange of energy. The mathematical expression of the welfares of the two markets is explained in detail in the Explanatory document to Baltic CCR TSOs proposal in accordance with Article 41(1) of the Commission Regulation (EU) 2017/2195 of 23 November 2017 establishing a guideline on electricity balancing. </w:t>
      </w:r>
    </w:p>
    <w:p w14:paraId="6A612527" w14:textId="1EF5A1E0" w:rsidR="00F304BB" w:rsidRDefault="00B613BD" w:rsidP="00F304BB">
      <w:pPr>
        <w:pStyle w:val="headline1"/>
        <w:rPr>
          <w:lang w:val="en-GB"/>
        </w:rPr>
      </w:pPr>
      <w:bookmarkStart w:id="20" w:name="_Toc1934567946"/>
      <w:r w:rsidRPr="68683882">
        <w:rPr>
          <w:lang w:val="en-GB"/>
        </w:rPr>
        <w:t>Fallback procedures</w:t>
      </w:r>
      <w:bookmarkEnd w:id="20"/>
    </w:p>
    <w:p w14:paraId="3A34E1CA" w14:textId="751DF938" w:rsidR="00575BB8" w:rsidRDefault="00F304BB" w:rsidP="00F304BB">
      <w:pPr>
        <w:pStyle w:val="textregular"/>
      </w:pPr>
      <w:r>
        <w:t xml:space="preserve">The fallback process can be triggered by </w:t>
      </w:r>
      <w:proofErr w:type="gramStart"/>
      <w:r>
        <w:t>any one</w:t>
      </w:r>
      <w:proofErr w:type="gramEnd"/>
      <w:r>
        <w:t xml:space="preserve"> conditions listed in Article </w:t>
      </w:r>
      <w:r w:rsidR="001A59B5">
        <w:t xml:space="preserve">9(1). Due to the completely different nature of possible causes </w:t>
      </w:r>
      <w:r w:rsidR="00AA67F7">
        <w:t xml:space="preserve">for the reason of going to fallback, several fallback scenarios have been identified. </w:t>
      </w:r>
      <w:r w:rsidR="0070274C">
        <w:t xml:space="preserve">Generally, a joint procurement of balancing capacity in the three Baltic countries is preferred due to </w:t>
      </w:r>
      <w:r w:rsidR="00CA3A1D">
        <w:t xml:space="preserve">efficiency in bid selection. However, such a process can only be </w:t>
      </w:r>
      <w:r w:rsidR="00490A38">
        <w:t>used when sufficient time is available to TSOs to prepare for</w:t>
      </w:r>
      <w:r w:rsidR="00421749">
        <w:t xml:space="preserve"> the joint procurement fallback procedure. Additionally, it might be possible that under some conditions</w:t>
      </w:r>
      <w:r w:rsidR="00D42E80">
        <w:t xml:space="preserve"> the joint procurement algorithm is not able to produce results due to mathematical reasons. </w:t>
      </w:r>
      <w:r w:rsidR="00D25094">
        <w:t>In those cases, each TSO shall conduct a separate procurement procedure as is highlighted in Article 9(5).</w:t>
      </w:r>
    </w:p>
    <w:p w14:paraId="202A23A8" w14:textId="769B436C" w:rsidR="00575BB8" w:rsidRPr="00F304BB" w:rsidRDefault="00575BB8" w:rsidP="00575BB8">
      <w:pPr>
        <w:pStyle w:val="headline3"/>
      </w:pPr>
      <w:r>
        <w:t>Fallback according to Article 9(4)</w:t>
      </w:r>
    </w:p>
    <w:p w14:paraId="721F24AD" w14:textId="67FE61A2" w:rsidR="00575BB8" w:rsidRDefault="008D5EAD" w:rsidP="00F304BB">
      <w:pPr>
        <w:pStyle w:val="textregular"/>
      </w:pPr>
      <w:r>
        <w:t xml:space="preserve">In the joint procurement fallback procedure, the Baltic TSOs aim to replicate the actual auction procedure as close as possible. However, </w:t>
      </w:r>
      <w:r w:rsidR="007335EA">
        <w:t xml:space="preserve">even if joint procurement fallback is initiated, it might be possible that it is not possible to follow all </w:t>
      </w:r>
      <w:r w:rsidR="009860A9">
        <w:t>nuances of the Baltic balancing capacity market</w:t>
      </w:r>
      <w:r w:rsidR="00C90F4B">
        <w:t>. For example, publication of data might be delayed if TSOs run the central procurement algorithm in their local systems and must manage the publication procedures manually.</w:t>
      </w:r>
    </w:p>
    <w:p w14:paraId="6D1EE941" w14:textId="75F0862A" w:rsidR="009C704B" w:rsidRPr="00F304BB" w:rsidRDefault="003B50A5" w:rsidP="00575BB8">
      <w:pPr>
        <w:pStyle w:val="headline3"/>
      </w:pPr>
      <w:r>
        <w:t>Fallback according to Article</w:t>
      </w:r>
      <w:r w:rsidR="00575BB8">
        <w:t xml:space="preserve"> 9(5)</w:t>
      </w:r>
    </w:p>
    <w:p w14:paraId="578FF56A" w14:textId="326585E6" w:rsidR="006F2E67" w:rsidRPr="0024559F" w:rsidRDefault="00B2403D" w:rsidP="00911BE7">
      <w:pPr>
        <w:jc w:val="both"/>
      </w:pPr>
      <w:r w:rsidRPr="0024559F">
        <w:t>The</w:t>
      </w:r>
      <w:r w:rsidR="00B613BD" w:rsidRPr="0024559F">
        <w:t xml:space="preserve"> FCR, aFRR and mFRR ba</w:t>
      </w:r>
      <w:r w:rsidR="00F734F2" w:rsidRPr="0024559F">
        <w:t>la</w:t>
      </w:r>
      <w:r w:rsidR="00B613BD" w:rsidRPr="0024559F">
        <w:t xml:space="preserve">ncing capacities shall be procured </w:t>
      </w:r>
      <w:r w:rsidR="00A33D74" w:rsidRPr="0024559F">
        <w:t>regionally</w:t>
      </w:r>
      <w:r w:rsidR="00B613BD" w:rsidRPr="0024559F">
        <w:t xml:space="preserve"> under fallback conditions.</w:t>
      </w:r>
      <w:r w:rsidR="00A92C26" w:rsidRPr="0024559F">
        <w:t xml:space="preserve"> The FCR balancing capacit</w:t>
      </w:r>
      <w:r w:rsidR="00381E66" w:rsidRPr="0024559F">
        <w:t xml:space="preserve">y volume </w:t>
      </w:r>
      <w:r w:rsidR="00A92C26" w:rsidRPr="0024559F">
        <w:t>shall be procured</w:t>
      </w:r>
      <w:r w:rsidR="00381E66" w:rsidRPr="0024559F">
        <w:t xml:space="preserve"> </w:t>
      </w:r>
      <w:r w:rsidR="00A92C26" w:rsidRPr="0024559F">
        <w:t>in each bidding zone as</w:t>
      </w:r>
      <w:r w:rsidR="00381E66" w:rsidRPr="0024559F">
        <w:t xml:space="preserve"> </w:t>
      </w:r>
      <w:r w:rsidR="00A92C26" w:rsidRPr="0024559F">
        <w:t>dimensioned for eac</w:t>
      </w:r>
      <w:r w:rsidR="00381E66" w:rsidRPr="0024559F">
        <w:t xml:space="preserve">h </w:t>
      </w:r>
      <w:r w:rsidR="00A92C26" w:rsidRPr="0024559F">
        <w:t>bidding zone respectively.</w:t>
      </w:r>
      <w:r w:rsidR="003A310C" w:rsidRPr="0024559F">
        <w:t xml:space="preserve"> </w:t>
      </w:r>
      <w:r w:rsidR="00F734F2" w:rsidRPr="0024559F">
        <w:t xml:space="preserve">The aFRR and mFRR balancing capacities in fallback conditions shall be procured in each area based on the required accessible volume and allocated volume of cross-zonal capacity for the exchange </w:t>
      </w:r>
      <w:r w:rsidR="00F734F2" w:rsidRPr="0024559F">
        <w:lastRenderedPageBreak/>
        <w:t>balancing capacity or sharing of reserves.</w:t>
      </w:r>
      <w:r w:rsidR="002E707A" w:rsidRPr="0024559F">
        <w:t xml:space="preserve"> </w:t>
      </w:r>
      <w:r w:rsidR="001E26F4" w:rsidRPr="0024559F">
        <w:t xml:space="preserve">The allocated volume of cross-zonal capacity shall be calculated </w:t>
      </w:r>
      <w:r w:rsidR="00E02713" w:rsidRPr="0024559F">
        <w:t>as shown below:</w:t>
      </w:r>
    </w:p>
    <w:p w14:paraId="788590A4" w14:textId="77777777" w:rsidR="00366372" w:rsidRPr="0024559F" w:rsidRDefault="00366372" w:rsidP="00911BE7">
      <w:pPr>
        <w:pStyle w:val="ListParagraph"/>
        <w:rPr>
          <w:lang w:val="en-GB"/>
        </w:rPr>
      </w:pPr>
    </w:p>
    <w:p w14:paraId="37D2A76E" w14:textId="77777777" w:rsidR="006F2E67" w:rsidRPr="0024559F" w:rsidRDefault="002B3BBF" w:rsidP="00911BE7">
      <w:pPr>
        <w:pStyle w:val="ListParagraph"/>
        <w:rPr>
          <w:lang w:val="en-GB"/>
        </w:rPr>
      </w:pPr>
      <m:oMathPara>
        <m:oMath>
          <m:sSub>
            <m:sSubPr>
              <m:ctrlPr>
                <w:rPr>
                  <w:rFonts w:ascii="Cambria Math" w:hAnsi="Cambria Math"/>
                  <w:i/>
                  <w:lang w:val="en-GB"/>
                </w:rPr>
              </m:ctrlPr>
            </m:sSubPr>
            <m:e>
              <m:r>
                <w:rPr>
                  <w:rFonts w:ascii="Cambria Math" w:hAnsi="Cambria Math"/>
                  <w:lang w:val="en-GB"/>
                </w:rPr>
                <m:t>ACB</m:t>
              </m:r>
            </m:e>
            <m:sub>
              <m:r>
                <w:rPr>
                  <w:rFonts w:ascii="Cambria Math" w:hAnsi="Cambria Math"/>
                  <w:lang w:val="en-GB"/>
                </w:rPr>
                <m:t>LT</m:t>
              </m:r>
              <m:r>
                <w:rPr>
                  <w:rFonts w:ascii="Cambria Math" w:hAnsi="Cambria Math"/>
                  <w:lang w:val="en-GB"/>
                </w:rPr>
                <m:t>&gt;</m:t>
              </m:r>
              <m:r>
                <w:rPr>
                  <w:rFonts w:ascii="Cambria Math" w:hAnsi="Cambria Math"/>
                  <w:lang w:val="en-GB"/>
                </w:rPr>
                <m:t>LV</m:t>
              </m:r>
            </m:sub>
          </m:sSub>
          <m:r>
            <w:rPr>
              <w:rFonts w:ascii="Cambria Math" w:hAnsi="Cambria Math"/>
              <w:lang w:val="en-GB"/>
            </w:rPr>
            <m:t>=</m:t>
          </m:r>
          <m:r>
            <w:rPr>
              <w:rFonts w:ascii="Cambria Math" w:hAnsi="Cambria Math"/>
              <w:lang w:val="en-GB"/>
            </w:rPr>
            <m:t>MAX</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AcV</m:t>
                  </m:r>
                </m:e>
                <m:sub>
                  <m:r>
                    <w:rPr>
                      <w:rFonts w:ascii="Cambria Math" w:hAnsi="Cambria Math"/>
                      <w:lang w:val="en-GB"/>
                    </w:rPr>
                    <m:t>LTdown</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FRR</m:t>
                  </m:r>
                </m:e>
                <m:sub>
                  <m:r>
                    <w:rPr>
                      <w:rFonts w:ascii="Cambria Math" w:hAnsi="Cambria Math"/>
                      <w:lang w:val="en-GB"/>
                    </w:rPr>
                    <m:t>LTdown</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AcV</m:t>
                  </m:r>
                </m:e>
                <m:sub>
                  <m:r>
                    <w:rPr>
                      <w:rFonts w:ascii="Cambria Math" w:hAnsi="Cambria Math"/>
                      <w:lang w:val="en-GB"/>
                    </w:rPr>
                    <m:t>LVup</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FRR</m:t>
                  </m:r>
                </m:e>
                <m:sub>
                  <m:r>
                    <w:rPr>
                      <w:rFonts w:ascii="Cambria Math" w:hAnsi="Cambria Math"/>
                      <w:lang w:val="en-GB"/>
                    </w:rPr>
                    <m:t>LVup</m:t>
                  </m:r>
                </m:sub>
              </m:sSub>
            </m:e>
          </m:d>
        </m:oMath>
      </m:oMathPara>
    </w:p>
    <w:p w14:paraId="276DEFB8" w14:textId="77777777" w:rsidR="006F2E67" w:rsidRPr="0024559F" w:rsidRDefault="002B3BBF" w:rsidP="00911BE7">
      <w:pPr>
        <w:pStyle w:val="ListParagraph"/>
        <w:rPr>
          <w:rFonts w:eastAsiaTheme="minorEastAsia"/>
          <w:lang w:val="en-GB"/>
        </w:rPr>
      </w:pPr>
      <m:oMathPara>
        <m:oMath>
          <m:sSub>
            <m:sSubPr>
              <m:ctrlPr>
                <w:rPr>
                  <w:rFonts w:ascii="Cambria Math" w:hAnsi="Cambria Math"/>
                  <w:i/>
                  <w:lang w:val="en-GB"/>
                </w:rPr>
              </m:ctrlPr>
            </m:sSubPr>
            <m:e>
              <m:r>
                <w:rPr>
                  <w:rFonts w:ascii="Cambria Math" w:hAnsi="Cambria Math"/>
                  <w:lang w:val="en-GB"/>
                </w:rPr>
                <m:t>ACB</m:t>
              </m:r>
            </m:e>
            <m:sub>
              <m:r>
                <w:rPr>
                  <w:rFonts w:ascii="Cambria Math" w:hAnsi="Cambria Math"/>
                  <w:lang w:val="en-GB"/>
                </w:rPr>
                <m:t>LV</m:t>
              </m:r>
              <m:r>
                <w:rPr>
                  <w:rFonts w:ascii="Cambria Math" w:hAnsi="Cambria Math"/>
                  <w:lang w:val="en-GB"/>
                </w:rPr>
                <m:t>&gt;</m:t>
              </m:r>
              <m:r>
                <w:rPr>
                  <w:rFonts w:ascii="Cambria Math" w:hAnsi="Cambria Math"/>
                  <w:lang w:val="en-GB"/>
                </w:rPr>
                <m:t>LT</m:t>
              </m:r>
            </m:sub>
          </m:sSub>
          <m:r>
            <w:rPr>
              <w:rFonts w:ascii="Cambria Math" w:hAnsi="Cambria Math"/>
              <w:lang w:val="en-GB"/>
            </w:rPr>
            <m:t xml:space="preserve">= </m:t>
          </m:r>
          <m:r>
            <w:rPr>
              <w:rFonts w:ascii="Cambria Math" w:hAnsi="Cambria Math"/>
              <w:lang w:val="en-GB"/>
            </w:rPr>
            <m:t>MAX</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AcV</m:t>
                  </m:r>
                </m:e>
                <m:sub>
                  <m:r>
                    <w:rPr>
                      <w:rFonts w:ascii="Cambria Math" w:hAnsi="Cambria Math"/>
                      <w:lang w:val="en-GB"/>
                    </w:rPr>
                    <m:t>LTup</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FRR</m:t>
                  </m:r>
                </m:e>
                <m:sub>
                  <m:r>
                    <w:rPr>
                      <w:rFonts w:ascii="Cambria Math" w:hAnsi="Cambria Math"/>
                      <w:lang w:val="en-GB"/>
                    </w:rPr>
                    <m:t>LTup</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AcV</m:t>
                  </m:r>
                </m:e>
                <m:sub>
                  <m:r>
                    <w:rPr>
                      <w:rFonts w:ascii="Cambria Math" w:hAnsi="Cambria Math"/>
                      <w:lang w:val="en-GB"/>
                    </w:rPr>
                    <m:t>LVdown</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FRR</m:t>
                  </m:r>
                </m:e>
                <m:sub>
                  <m:r>
                    <w:rPr>
                      <w:rFonts w:ascii="Cambria Math" w:hAnsi="Cambria Math"/>
                      <w:lang w:val="en-GB"/>
                    </w:rPr>
                    <m:t>LVdown</m:t>
                  </m:r>
                </m:sub>
              </m:sSub>
            </m:e>
          </m:d>
        </m:oMath>
      </m:oMathPara>
    </w:p>
    <w:p w14:paraId="3F9227A2" w14:textId="77777777" w:rsidR="006F2E67" w:rsidRPr="0024559F" w:rsidRDefault="002B3BBF" w:rsidP="00911BE7">
      <w:pPr>
        <w:pStyle w:val="ListParagraph"/>
        <w:rPr>
          <w:rFonts w:eastAsiaTheme="minorEastAsia"/>
          <w:lang w:val="en-GB"/>
        </w:rPr>
      </w:pPr>
      <m:oMathPara>
        <m:oMath>
          <m:sSub>
            <m:sSubPr>
              <m:ctrlPr>
                <w:rPr>
                  <w:rFonts w:ascii="Cambria Math" w:hAnsi="Cambria Math"/>
                  <w:i/>
                  <w:lang w:val="en-GB"/>
                </w:rPr>
              </m:ctrlPr>
            </m:sSubPr>
            <m:e>
              <m:r>
                <w:rPr>
                  <w:rFonts w:ascii="Cambria Math" w:hAnsi="Cambria Math"/>
                  <w:lang w:val="en-GB"/>
                </w:rPr>
                <m:t>ACB</m:t>
              </m:r>
            </m:e>
            <m:sub>
              <m:r>
                <w:rPr>
                  <w:rFonts w:ascii="Cambria Math" w:hAnsi="Cambria Math"/>
                  <w:lang w:val="en-GB"/>
                </w:rPr>
                <m:t>EE</m:t>
              </m:r>
              <m:r>
                <w:rPr>
                  <w:rFonts w:ascii="Cambria Math" w:hAnsi="Cambria Math"/>
                  <w:lang w:val="en-GB"/>
                </w:rPr>
                <m:t>&gt;</m:t>
              </m:r>
              <m:r>
                <w:rPr>
                  <w:rFonts w:ascii="Cambria Math" w:hAnsi="Cambria Math"/>
                  <w:lang w:val="en-GB"/>
                </w:rPr>
                <m:t>LV</m:t>
              </m:r>
            </m:sub>
          </m:sSub>
          <m:r>
            <w:rPr>
              <w:rFonts w:ascii="Cambria Math" w:hAnsi="Cambria Math"/>
              <w:lang w:val="en-GB"/>
            </w:rPr>
            <m:t xml:space="preserve">= </m:t>
          </m:r>
          <m:r>
            <w:rPr>
              <w:rFonts w:ascii="Cambria Math" w:hAnsi="Cambria Math"/>
              <w:lang w:val="en-GB"/>
            </w:rPr>
            <m:t>MAX</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AcV</m:t>
                  </m:r>
                </m:e>
                <m:sub>
                  <m:r>
                    <w:rPr>
                      <w:rFonts w:ascii="Cambria Math" w:hAnsi="Cambria Math"/>
                      <w:lang w:val="en-GB"/>
                    </w:rPr>
                    <m:t>EEdown</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FRR</m:t>
                  </m:r>
                </m:e>
                <m:sub>
                  <m:r>
                    <w:rPr>
                      <w:rFonts w:ascii="Cambria Math" w:hAnsi="Cambria Math"/>
                      <w:lang w:val="en-GB"/>
                    </w:rPr>
                    <m:t>EEdown</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AcV</m:t>
                  </m:r>
                </m:e>
                <m:sub>
                  <m:r>
                    <w:rPr>
                      <w:rFonts w:ascii="Cambria Math" w:hAnsi="Cambria Math"/>
                      <w:lang w:val="en-GB"/>
                    </w:rPr>
                    <m:t>LVup</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FRR</m:t>
                  </m:r>
                </m:e>
                <m:sub>
                  <m:r>
                    <w:rPr>
                      <w:rFonts w:ascii="Cambria Math" w:hAnsi="Cambria Math"/>
                      <w:lang w:val="en-GB"/>
                    </w:rPr>
                    <m:t>LVup</m:t>
                  </m:r>
                </m:sub>
              </m:sSub>
            </m:e>
          </m:d>
        </m:oMath>
      </m:oMathPara>
    </w:p>
    <w:p w14:paraId="650737C2" w14:textId="77777777" w:rsidR="006F2E67" w:rsidRPr="0024559F" w:rsidRDefault="002B3BBF" w:rsidP="00911BE7">
      <w:pPr>
        <w:pStyle w:val="ListParagraph"/>
        <w:rPr>
          <w:rFonts w:eastAsiaTheme="minorEastAsia"/>
          <w:lang w:val="en-GB"/>
        </w:rPr>
      </w:pPr>
      <m:oMathPara>
        <m:oMath>
          <m:sSub>
            <m:sSubPr>
              <m:ctrlPr>
                <w:rPr>
                  <w:rFonts w:ascii="Cambria Math" w:hAnsi="Cambria Math"/>
                  <w:i/>
                  <w:lang w:val="en-GB"/>
                </w:rPr>
              </m:ctrlPr>
            </m:sSubPr>
            <m:e>
              <m:r>
                <w:rPr>
                  <w:rFonts w:ascii="Cambria Math" w:hAnsi="Cambria Math"/>
                  <w:lang w:val="en-GB"/>
                </w:rPr>
                <m:t>ACB</m:t>
              </m:r>
            </m:e>
            <m:sub>
              <m:r>
                <w:rPr>
                  <w:rFonts w:ascii="Cambria Math" w:hAnsi="Cambria Math"/>
                  <w:lang w:val="en-GB"/>
                </w:rPr>
                <m:t>LV</m:t>
              </m:r>
              <m:r>
                <w:rPr>
                  <w:rFonts w:ascii="Cambria Math" w:hAnsi="Cambria Math"/>
                  <w:lang w:val="en-GB"/>
                </w:rPr>
                <m:t>&gt;</m:t>
              </m:r>
              <m:r>
                <w:rPr>
                  <w:rFonts w:ascii="Cambria Math" w:hAnsi="Cambria Math"/>
                  <w:lang w:val="en-GB"/>
                </w:rPr>
                <m:t>EE</m:t>
              </m:r>
            </m:sub>
          </m:sSub>
          <m:r>
            <w:rPr>
              <w:rFonts w:ascii="Cambria Math" w:hAnsi="Cambria Math"/>
              <w:lang w:val="en-GB"/>
            </w:rPr>
            <m:t xml:space="preserve">= </m:t>
          </m:r>
          <m:r>
            <w:rPr>
              <w:rFonts w:ascii="Cambria Math" w:hAnsi="Cambria Math"/>
              <w:lang w:val="en-GB"/>
            </w:rPr>
            <m:t>MAX</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AcV</m:t>
                  </m:r>
                </m:e>
                <m:sub>
                  <m:r>
                    <w:rPr>
                      <w:rFonts w:ascii="Cambria Math" w:hAnsi="Cambria Math"/>
                      <w:lang w:val="en-GB"/>
                    </w:rPr>
                    <m:t>EEup</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FRR</m:t>
                  </m:r>
                </m:e>
                <m:sub>
                  <m:r>
                    <w:rPr>
                      <w:rFonts w:ascii="Cambria Math" w:hAnsi="Cambria Math"/>
                      <w:lang w:val="en-GB"/>
                    </w:rPr>
                    <m:t>EEup</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AcV</m:t>
                  </m:r>
                </m:e>
                <m:sub>
                  <m:r>
                    <w:rPr>
                      <w:rFonts w:ascii="Cambria Math" w:hAnsi="Cambria Math"/>
                      <w:lang w:val="en-GB"/>
                    </w:rPr>
                    <m:t>LVdown</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FRR</m:t>
                  </m:r>
                </m:e>
                <m:sub>
                  <m:r>
                    <w:rPr>
                      <w:rFonts w:ascii="Cambria Math" w:hAnsi="Cambria Math"/>
                      <w:lang w:val="en-GB"/>
                    </w:rPr>
                    <m:t>LVdown</m:t>
                  </m:r>
                </m:sub>
              </m:sSub>
            </m:e>
          </m:d>
        </m:oMath>
      </m:oMathPara>
    </w:p>
    <w:p w14:paraId="6A9D526B" w14:textId="77777777" w:rsidR="00C24CF7" w:rsidRPr="0024559F" w:rsidRDefault="00C24CF7" w:rsidP="00911BE7">
      <w:pPr>
        <w:pStyle w:val="ListParagraph"/>
        <w:ind w:left="1440"/>
        <w:rPr>
          <w:lang w:val="en-GB"/>
        </w:rPr>
      </w:pPr>
      <w:r w:rsidRPr="0024559F">
        <w:rPr>
          <w:lang w:val="en-GB"/>
        </w:rPr>
        <w:t>Where:</w:t>
      </w:r>
    </w:p>
    <w:p w14:paraId="306FBFAB" w14:textId="77777777" w:rsidR="00C24CF7" w:rsidRPr="0024559F" w:rsidRDefault="00C24CF7" w:rsidP="00911BE7">
      <w:pPr>
        <w:pStyle w:val="ListParagraph"/>
        <w:ind w:left="1440"/>
        <w:rPr>
          <w:lang w:val="en-GB"/>
        </w:rPr>
      </w:pPr>
      <w:proofErr w:type="spellStart"/>
      <w:r w:rsidRPr="0024559F">
        <w:rPr>
          <w:i/>
          <w:iCs/>
          <w:lang w:val="en-GB"/>
        </w:rPr>
        <w:t>ACB</w:t>
      </w:r>
      <w:r w:rsidRPr="0024559F">
        <w:rPr>
          <w:i/>
          <w:iCs/>
          <w:vertAlign w:val="subscript"/>
          <w:lang w:val="en-GB"/>
        </w:rPr>
        <w:t>i</w:t>
      </w:r>
      <w:proofErr w:type="spellEnd"/>
      <w:r w:rsidRPr="0024559F">
        <w:rPr>
          <w:i/>
          <w:iCs/>
          <w:vertAlign w:val="subscript"/>
          <w:lang w:val="en-GB"/>
        </w:rPr>
        <w:t>&gt;j</w:t>
      </w:r>
      <w:r w:rsidRPr="0024559F">
        <w:rPr>
          <w:lang w:val="en-GB"/>
        </w:rPr>
        <w:t xml:space="preserve"> – allocated volume of cross zonal capacity for the exchange of balancing capacity or sharing of reserves direction from area </w:t>
      </w:r>
      <w:proofErr w:type="spellStart"/>
      <w:r w:rsidRPr="0024559F">
        <w:rPr>
          <w:i/>
          <w:iCs/>
          <w:lang w:val="en-GB"/>
        </w:rPr>
        <w:t>i</w:t>
      </w:r>
      <w:proofErr w:type="spellEnd"/>
      <w:r w:rsidRPr="0024559F">
        <w:rPr>
          <w:lang w:val="en-GB"/>
        </w:rPr>
        <w:t xml:space="preserve"> to area </w:t>
      </w:r>
      <w:r w:rsidRPr="0024559F">
        <w:rPr>
          <w:i/>
          <w:iCs/>
          <w:lang w:val="en-GB"/>
        </w:rPr>
        <w:t>j</w:t>
      </w:r>
      <w:r w:rsidRPr="0024559F">
        <w:rPr>
          <w:lang w:val="en-GB"/>
        </w:rPr>
        <w:t>.</w:t>
      </w:r>
    </w:p>
    <w:p w14:paraId="4A18D312" w14:textId="77777777" w:rsidR="00C24CF7" w:rsidRPr="0024559F" w:rsidRDefault="00C24CF7" w:rsidP="00911BE7">
      <w:pPr>
        <w:pStyle w:val="ListParagraph"/>
        <w:ind w:left="1440"/>
        <w:rPr>
          <w:lang w:val="en-GB"/>
        </w:rPr>
      </w:pPr>
      <w:proofErr w:type="spellStart"/>
      <w:r w:rsidRPr="0024559F">
        <w:rPr>
          <w:i/>
          <w:iCs/>
          <w:lang w:val="en-GB"/>
        </w:rPr>
        <w:t>AcV</w:t>
      </w:r>
      <w:r w:rsidRPr="0024559F">
        <w:rPr>
          <w:i/>
          <w:iCs/>
          <w:vertAlign w:val="subscript"/>
          <w:lang w:val="en-GB"/>
        </w:rPr>
        <w:t>i</w:t>
      </w:r>
      <w:proofErr w:type="spellEnd"/>
      <w:r w:rsidRPr="0024559F">
        <w:rPr>
          <w:i/>
          <w:iCs/>
          <w:lang w:val="en-GB"/>
        </w:rPr>
        <w:t xml:space="preserve"> </w:t>
      </w:r>
      <w:r w:rsidRPr="0024559F">
        <w:rPr>
          <w:lang w:val="en-GB"/>
        </w:rPr>
        <w:t xml:space="preserve">– accessible volume for area </w:t>
      </w:r>
      <w:proofErr w:type="spellStart"/>
      <w:r w:rsidRPr="0024559F">
        <w:rPr>
          <w:i/>
          <w:iCs/>
          <w:lang w:val="en-GB"/>
        </w:rPr>
        <w:t>i</w:t>
      </w:r>
      <w:proofErr w:type="spellEnd"/>
      <w:r w:rsidRPr="0024559F">
        <w:rPr>
          <w:lang w:val="en-GB"/>
        </w:rPr>
        <w:t>.</w:t>
      </w:r>
    </w:p>
    <w:p w14:paraId="35662C1C" w14:textId="0E7E8CD5" w:rsidR="00C24CF7" w:rsidRPr="0024559F" w:rsidRDefault="00C24CF7" w:rsidP="00911BE7">
      <w:pPr>
        <w:pStyle w:val="ListParagraph"/>
        <w:ind w:left="1440"/>
        <w:rPr>
          <w:lang w:val="en-GB"/>
        </w:rPr>
      </w:pPr>
      <w:proofErr w:type="spellStart"/>
      <w:r w:rsidRPr="0024559F">
        <w:rPr>
          <w:i/>
          <w:iCs/>
          <w:lang w:val="en-GB"/>
        </w:rPr>
        <w:t>FRR</w:t>
      </w:r>
      <w:r w:rsidRPr="0024559F">
        <w:rPr>
          <w:i/>
          <w:iCs/>
          <w:vertAlign w:val="subscript"/>
          <w:lang w:val="en-GB"/>
        </w:rPr>
        <w:t>i</w:t>
      </w:r>
      <w:proofErr w:type="spellEnd"/>
      <w:r w:rsidRPr="0024559F">
        <w:rPr>
          <w:lang w:val="en-GB"/>
        </w:rPr>
        <w:t xml:space="preserve"> – distributed FRR balancing capacity volume</w:t>
      </w:r>
      <w:r w:rsidR="00C40047" w:rsidRPr="0024559F">
        <w:rPr>
          <w:lang w:val="en-GB"/>
        </w:rPr>
        <w:t xml:space="preserve"> for the area </w:t>
      </w:r>
      <w:proofErr w:type="spellStart"/>
      <w:r w:rsidR="00C40047" w:rsidRPr="0024559F">
        <w:rPr>
          <w:i/>
          <w:iCs/>
          <w:lang w:val="en-GB"/>
        </w:rPr>
        <w:t>i</w:t>
      </w:r>
      <w:proofErr w:type="spellEnd"/>
      <w:r w:rsidRPr="0024559F">
        <w:rPr>
          <w:lang w:val="en-GB"/>
        </w:rPr>
        <w:t xml:space="preserve"> in accordance with distribution key, which is calculated. </w:t>
      </w:r>
    </w:p>
    <w:p w14:paraId="2AAF7CAF" w14:textId="77777777" w:rsidR="00C24CF7" w:rsidRPr="0024559F" w:rsidRDefault="00C24CF7" w:rsidP="00911BE7">
      <w:pPr>
        <w:pStyle w:val="ListParagraph"/>
        <w:rPr>
          <w:rFonts w:eastAsiaTheme="minorEastAsia"/>
          <w:lang w:val="en-GB"/>
        </w:rPr>
      </w:pPr>
    </w:p>
    <w:p w14:paraId="658F66B4" w14:textId="33B57C71" w:rsidR="006F2E67" w:rsidRPr="0024559F" w:rsidRDefault="00FC21E9" w:rsidP="00911BE7">
      <w:pPr>
        <w:pStyle w:val="ListParagraph"/>
        <w:rPr>
          <w:lang w:val="en-GB"/>
        </w:rPr>
      </w:pPr>
      <w:r w:rsidRPr="0024559F">
        <w:rPr>
          <w:lang w:val="en-GB"/>
        </w:rPr>
        <w:t xml:space="preserve">The </w:t>
      </w:r>
      <w:r w:rsidR="00AA64C8" w:rsidRPr="0024559F">
        <w:rPr>
          <w:lang w:val="en-GB"/>
        </w:rPr>
        <w:t>same</w:t>
      </w:r>
      <w:r w:rsidR="00331997" w:rsidRPr="0024559F">
        <w:rPr>
          <w:lang w:val="en-GB"/>
        </w:rPr>
        <w:t xml:space="preserve"> amount of</w:t>
      </w:r>
      <w:r w:rsidR="00AA64C8" w:rsidRPr="0024559F">
        <w:rPr>
          <w:lang w:val="en-GB"/>
        </w:rPr>
        <w:t xml:space="preserve"> </w:t>
      </w:r>
      <w:r w:rsidRPr="0024559F">
        <w:rPr>
          <w:lang w:val="en-GB"/>
        </w:rPr>
        <w:t>allocated cross-zonal capacity can be used both for upward and downward regulation, hence the larg</w:t>
      </w:r>
      <w:r w:rsidR="00AA64C8" w:rsidRPr="0024559F">
        <w:rPr>
          <w:lang w:val="en-GB"/>
        </w:rPr>
        <w:t>er value is taken.</w:t>
      </w:r>
      <w:r w:rsidR="000D59BD" w:rsidRPr="0024559F">
        <w:rPr>
          <w:lang w:val="en-GB"/>
        </w:rPr>
        <w:t xml:space="preserve"> The distributed FRR balancing capacity volume is </w:t>
      </w:r>
      <w:r w:rsidR="00754E11" w:rsidRPr="0024559F">
        <w:rPr>
          <w:lang w:val="en-GB"/>
        </w:rPr>
        <w:t>found by calculating the distribution key for FRR balancing capacity</w:t>
      </w:r>
      <w:r w:rsidR="00A22C88" w:rsidRPr="0024559F">
        <w:rPr>
          <w:lang w:val="en-GB"/>
        </w:rPr>
        <w:t>, which is based on the dimen</w:t>
      </w:r>
      <w:r w:rsidR="00F732B2" w:rsidRPr="0024559F">
        <w:rPr>
          <w:lang w:val="en-GB"/>
        </w:rPr>
        <w:t>s</w:t>
      </w:r>
      <w:r w:rsidR="00A22C88" w:rsidRPr="0024559F">
        <w:rPr>
          <w:lang w:val="en-GB"/>
        </w:rPr>
        <w:t xml:space="preserve">ioned </w:t>
      </w:r>
      <w:r w:rsidR="008E397E" w:rsidRPr="0024559F">
        <w:rPr>
          <w:lang w:val="en-GB"/>
        </w:rPr>
        <w:t>a</w:t>
      </w:r>
      <w:r w:rsidR="00A22C88" w:rsidRPr="0024559F">
        <w:rPr>
          <w:lang w:val="en-GB"/>
        </w:rPr>
        <w:t>FRR</w:t>
      </w:r>
      <w:r w:rsidR="008E397E" w:rsidRPr="0024559F">
        <w:rPr>
          <w:lang w:val="en-GB"/>
        </w:rPr>
        <w:t xml:space="preserve"> and mFRR</w:t>
      </w:r>
      <w:r w:rsidR="00A22C88" w:rsidRPr="0024559F">
        <w:rPr>
          <w:lang w:val="en-GB"/>
        </w:rPr>
        <w:t xml:space="preserve"> volume</w:t>
      </w:r>
      <w:r w:rsidR="008E397E" w:rsidRPr="0024559F">
        <w:rPr>
          <w:lang w:val="en-GB"/>
        </w:rPr>
        <w:t>s</w:t>
      </w:r>
      <w:r w:rsidR="00A22C88" w:rsidRPr="0024559F">
        <w:rPr>
          <w:lang w:val="en-GB"/>
        </w:rPr>
        <w:t xml:space="preserve"> for each area</w:t>
      </w:r>
      <w:r w:rsidR="003C11DD" w:rsidRPr="0024559F">
        <w:rPr>
          <w:lang w:val="en-GB"/>
        </w:rPr>
        <w:t>, as shown below:</w:t>
      </w:r>
    </w:p>
    <w:p w14:paraId="1728E467" w14:textId="77777777" w:rsidR="009471E7" w:rsidRPr="0024559F" w:rsidRDefault="009471E7" w:rsidP="00911BE7">
      <w:pPr>
        <w:pStyle w:val="ListParagraph"/>
        <w:rPr>
          <w:lang w:val="en-GB"/>
        </w:rPr>
      </w:pPr>
    </w:p>
    <w:p w14:paraId="267301C2" w14:textId="687E949A" w:rsidR="00A33D74" w:rsidRPr="0024559F" w:rsidRDefault="002B3BBF" w:rsidP="00911BE7">
      <w:pPr>
        <w:jc w:val="both"/>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aFRR</m:t>
              </m:r>
              <m:r>
                <w:rPr>
                  <w:rFonts w:ascii="Cambria Math" w:hAnsi="Cambria Math"/>
                </w:rPr>
                <m:t>,</m:t>
              </m:r>
              <m:r>
                <w:rPr>
                  <w:rFonts w:ascii="Cambria Math" w:hAnsi="Cambria Math"/>
                </w:rPr>
                <m:t>area</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aFRR</m:t>
                  </m:r>
                </m:e>
                <m:sub>
                  <m:r>
                    <w:rPr>
                      <w:rFonts w:ascii="Cambria Math" w:hAnsi="Cambria Math"/>
                    </w:rPr>
                    <m:t>LFC</m:t>
                  </m:r>
                  <m:r>
                    <w:rPr>
                      <w:rFonts w:ascii="Cambria Math" w:hAnsi="Cambria Math"/>
                    </w:rPr>
                    <m:t>,</m:t>
                  </m:r>
                  <m:r>
                    <w:rPr>
                      <w:rFonts w:ascii="Cambria Math" w:hAnsi="Cambria Math"/>
                    </w:rPr>
                    <m:t>area</m:t>
                  </m:r>
                </m:sub>
              </m:sSub>
            </m:num>
            <m:den>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aFRR</m:t>
                      </m:r>
                    </m:e>
                    <m:sub>
                      <m:r>
                        <w:rPr>
                          <w:rFonts w:ascii="Cambria Math" w:hAnsi="Cambria Math"/>
                        </w:rPr>
                        <m:t>LFC</m:t>
                      </m:r>
                      <m:r>
                        <w:rPr>
                          <w:rFonts w:ascii="Cambria Math" w:hAnsi="Cambria Math"/>
                        </w:rPr>
                        <m:t>,</m:t>
                      </m:r>
                      <m:r>
                        <w:rPr>
                          <w:rFonts w:ascii="Cambria Math" w:hAnsi="Cambria Math"/>
                        </w:rPr>
                        <m:t>area</m:t>
                      </m:r>
                    </m:sub>
                  </m:sSub>
                </m:e>
              </m:nary>
            </m:den>
          </m:f>
        </m:oMath>
      </m:oMathPara>
    </w:p>
    <w:p w14:paraId="25174772" w14:textId="0768D9B6" w:rsidR="00A33D74" w:rsidRPr="0024559F" w:rsidRDefault="00A33D74" w:rsidP="00911BE7">
      <w:pPr>
        <w:jc w:val="both"/>
        <w:rPr>
          <w:rFonts w:eastAsiaTheme="minorEastAsia"/>
        </w:rPr>
      </w:pPr>
    </w:p>
    <w:p w14:paraId="091C9D56" w14:textId="33F8BE53" w:rsidR="00A33D74" w:rsidRPr="0024559F" w:rsidRDefault="002B3BBF" w:rsidP="00911BE7">
      <w:pPr>
        <w:jc w:val="both"/>
      </w:pPr>
      <m:oMathPara>
        <m:oMath>
          <m:sSub>
            <m:sSubPr>
              <m:ctrlPr>
                <w:rPr>
                  <w:rFonts w:ascii="Cambria Math" w:hAnsi="Cambria Math"/>
                  <w:i/>
                </w:rPr>
              </m:ctrlPr>
            </m:sSubPr>
            <m:e>
              <m:r>
                <w:rPr>
                  <w:rFonts w:ascii="Cambria Math" w:hAnsi="Cambria Math"/>
                </w:rPr>
                <m:t>aFRR</m:t>
              </m:r>
            </m:e>
            <m:sub>
              <m:r>
                <w:rPr>
                  <w:rFonts w:ascii="Cambria Math" w:hAnsi="Cambria Math"/>
                </w:rPr>
                <m:t>area</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aFRR</m:t>
              </m:r>
              <m:r>
                <w:rPr>
                  <w:rFonts w:ascii="Cambria Math" w:hAnsi="Cambria Math"/>
                </w:rPr>
                <m:t>,</m:t>
              </m:r>
              <m:r>
                <w:rPr>
                  <w:rFonts w:ascii="Cambria Math" w:hAnsi="Cambria Math"/>
                </w:rPr>
                <m:t>area</m:t>
              </m:r>
            </m:sub>
          </m:sSub>
          <m:r>
            <w:rPr>
              <w:rFonts w:ascii="Cambria Math" w:hAnsi="Cambria Math"/>
            </w:rPr>
            <m:t>∙</m:t>
          </m:r>
          <m:sSub>
            <m:sSubPr>
              <m:ctrlPr>
                <w:rPr>
                  <w:rFonts w:ascii="Cambria Math" w:hAnsi="Cambria Math"/>
                  <w:i/>
                </w:rPr>
              </m:ctrlPr>
            </m:sSubPr>
            <m:e>
              <m:r>
                <w:rPr>
                  <w:rFonts w:ascii="Cambria Math" w:hAnsi="Cambria Math"/>
                </w:rPr>
                <m:t>aFRR</m:t>
              </m:r>
            </m:e>
            <m:sub>
              <m:r>
                <w:rPr>
                  <w:rFonts w:ascii="Cambria Math" w:hAnsi="Cambria Math"/>
                </w:rPr>
                <m:t>Baltic</m:t>
              </m:r>
            </m:sub>
          </m:sSub>
          <m:r>
            <w:rPr>
              <w:rFonts w:ascii="Cambria Math" w:hAnsi="Cambria Math"/>
            </w:rPr>
            <m:t xml:space="preserve"> </m:t>
          </m:r>
        </m:oMath>
      </m:oMathPara>
    </w:p>
    <w:p w14:paraId="29CC9335" w14:textId="33530276" w:rsidR="00A33D74" w:rsidRPr="0024559F" w:rsidRDefault="00A33D74" w:rsidP="00911BE7">
      <w:pPr>
        <w:jc w:val="both"/>
      </w:pPr>
    </w:p>
    <w:p w14:paraId="28381D1D" w14:textId="0487925E" w:rsidR="00A33D74" w:rsidRPr="0024559F" w:rsidRDefault="002B3BBF" w:rsidP="00911BE7">
      <w:pPr>
        <w:jc w:val="both"/>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mFRR</m:t>
              </m:r>
              <m:r>
                <w:rPr>
                  <w:rFonts w:ascii="Cambria Math" w:hAnsi="Cambria Math"/>
                </w:rPr>
                <m:t>,</m:t>
              </m:r>
              <m:r>
                <w:rPr>
                  <w:rFonts w:ascii="Cambria Math" w:hAnsi="Cambria Math"/>
                </w:rPr>
                <m:t>area</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mFRR</m:t>
                  </m:r>
                </m:e>
                <m:sub>
                  <m:r>
                    <w:rPr>
                      <w:rFonts w:ascii="Cambria Math" w:hAnsi="Cambria Math"/>
                    </w:rPr>
                    <m:t>LFC</m:t>
                  </m:r>
                  <m:r>
                    <w:rPr>
                      <w:rFonts w:ascii="Cambria Math" w:hAnsi="Cambria Math"/>
                    </w:rPr>
                    <m:t>,</m:t>
                  </m:r>
                  <m:r>
                    <w:rPr>
                      <w:rFonts w:ascii="Cambria Math" w:hAnsi="Cambria Math"/>
                    </w:rPr>
                    <m:t>area</m:t>
                  </m:r>
                </m:sub>
              </m:sSub>
            </m:num>
            <m:den>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mFRR</m:t>
                      </m:r>
                    </m:e>
                    <m:sub>
                      <m:r>
                        <w:rPr>
                          <w:rFonts w:ascii="Cambria Math" w:hAnsi="Cambria Math"/>
                        </w:rPr>
                        <m:t>LFC</m:t>
                      </m:r>
                      <m:r>
                        <w:rPr>
                          <w:rFonts w:ascii="Cambria Math" w:hAnsi="Cambria Math"/>
                        </w:rPr>
                        <m:t>,</m:t>
                      </m:r>
                      <m:r>
                        <w:rPr>
                          <w:rFonts w:ascii="Cambria Math" w:hAnsi="Cambria Math"/>
                        </w:rPr>
                        <m:t>area</m:t>
                      </m:r>
                    </m:sub>
                  </m:sSub>
                </m:e>
              </m:nary>
            </m:den>
          </m:f>
        </m:oMath>
      </m:oMathPara>
    </w:p>
    <w:p w14:paraId="0BC1B89B" w14:textId="744B8B6F" w:rsidR="00A33D74" w:rsidRPr="0024559F" w:rsidRDefault="00A33D74" w:rsidP="00911BE7">
      <w:pPr>
        <w:jc w:val="both"/>
      </w:pPr>
    </w:p>
    <w:p w14:paraId="786FFCE6" w14:textId="61CF046C" w:rsidR="003048BF" w:rsidRPr="0024559F" w:rsidRDefault="002B3BBF" w:rsidP="00911BE7">
      <w:pPr>
        <w:jc w:val="both"/>
        <w:rPr>
          <w:rFonts w:eastAsiaTheme="minorEastAsia"/>
        </w:rPr>
      </w:pPr>
      <m:oMathPara>
        <m:oMath>
          <m:sSub>
            <m:sSubPr>
              <m:ctrlPr>
                <w:rPr>
                  <w:rFonts w:ascii="Cambria Math" w:hAnsi="Cambria Math"/>
                  <w:i/>
                </w:rPr>
              </m:ctrlPr>
            </m:sSubPr>
            <m:e>
              <m:r>
                <w:rPr>
                  <w:rFonts w:ascii="Cambria Math" w:hAnsi="Cambria Math"/>
                </w:rPr>
                <m:t>mFRR</m:t>
              </m:r>
            </m:e>
            <m:sub>
              <m:r>
                <w:rPr>
                  <w:rFonts w:ascii="Cambria Math" w:hAnsi="Cambria Math"/>
                </w:rPr>
                <m:t>area</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mFRR</m:t>
              </m:r>
              <m:r>
                <w:rPr>
                  <w:rFonts w:ascii="Cambria Math" w:hAnsi="Cambria Math"/>
                </w:rPr>
                <m:t>,</m:t>
              </m:r>
              <m:r>
                <w:rPr>
                  <w:rFonts w:ascii="Cambria Math" w:hAnsi="Cambria Math"/>
                </w:rPr>
                <m:t>area</m:t>
              </m:r>
            </m:sub>
          </m:sSub>
          <m:r>
            <w:rPr>
              <w:rFonts w:ascii="Cambria Math" w:hAnsi="Cambria Math"/>
            </w:rPr>
            <m:t>∙</m:t>
          </m:r>
          <m:sSub>
            <m:sSubPr>
              <m:ctrlPr>
                <w:rPr>
                  <w:rFonts w:ascii="Cambria Math" w:hAnsi="Cambria Math"/>
                  <w:i/>
                </w:rPr>
              </m:ctrlPr>
            </m:sSubPr>
            <m:e>
              <m:r>
                <w:rPr>
                  <w:rFonts w:ascii="Cambria Math" w:hAnsi="Cambria Math"/>
                </w:rPr>
                <m:t>mFRR</m:t>
              </m:r>
            </m:e>
            <m:sub>
              <m:r>
                <w:rPr>
                  <w:rFonts w:ascii="Cambria Math" w:hAnsi="Cambria Math"/>
                </w:rPr>
                <m:t>Baltic</m:t>
              </m:r>
            </m:sub>
          </m:sSub>
        </m:oMath>
      </m:oMathPara>
    </w:p>
    <w:p w14:paraId="6701CA7D" w14:textId="5473BB90" w:rsidR="00594A69" w:rsidRPr="0024559F" w:rsidRDefault="002B3BBF" w:rsidP="00911BE7">
      <w:pPr>
        <w:jc w:val="both"/>
        <w:rPr>
          <w:rFonts w:eastAsiaTheme="minorEastAsia"/>
        </w:rPr>
      </w:pPr>
      <m:oMathPara>
        <m:oMath>
          <m:sSub>
            <m:sSubPr>
              <m:ctrlPr>
                <w:rPr>
                  <w:rFonts w:ascii="Cambria Math" w:hAnsi="Cambria Math"/>
                  <w:i/>
                </w:rPr>
              </m:ctrlPr>
            </m:sSubPr>
            <m:e>
              <m:r>
                <w:rPr>
                  <w:rFonts w:ascii="Cambria Math" w:hAnsi="Cambria Math"/>
                </w:rPr>
                <m:t>FRR</m:t>
              </m:r>
            </m:e>
            <m:sub>
              <m:r>
                <w:rPr>
                  <w:rFonts w:ascii="Cambria Math" w:hAnsi="Cambria Math"/>
                </w:rPr>
                <m:t>area</m:t>
              </m:r>
            </m:sub>
          </m:sSub>
          <m:r>
            <w:rPr>
              <w:rFonts w:ascii="Cambria Math" w:hAnsi="Cambria Math"/>
            </w:rPr>
            <m:t>=</m:t>
          </m:r>
          <m:sSub>
            <m:sSubPr>
              <m:ctrlPr>
                <w:rPr>
                  <w:rFonts w:ascii="Cambria Math" w:hAnsi="Cambria Math"/>
                  <w:i/>
                </w:rPr>
              </m:ctrlPr>
            </m:sSubPr>
            <m:e>
              <m:r>
                <w:rPr>
                  <w:rFonts w:ascii="Cambria Math" w:hAnsi="Cambria Math"/>
                </w:rPr>
                <m:t>aFRR</m:t>
              </m:r>
            </m:e>
            <m:sub>
              <m:r>
                <w:rPr>
                  <w:rFonts w:ascii="Cambria Math" w:hAnsi="Cambria Math"/>
                </w:rPr>
                <m:t>area</m:t>
              </m:r>
            </m:sub>
          </m:sSub>
          <m:r>
            <w:rPr>
              <w:rFonts w:ascii="Cambria Math" w:hAnsi="Cambria Math"/>
            </w:rPr>
            <m:t>+</m:t>
          </m:r>
          <m:sSub>
            <m:sSubPr>
              <m:ctrlPr>
                <w:rPr>
                  <w:rFonts w:ascii="Cambria Math" w:hAnsi="Cambria Math"/>
                  <w:i/>
                </w:rPr>
              </m:ctrlPr>
            </m:sSubPr>
            <m:e>
              <m:r>
                <w:rPr>
                  <w:rFonts w:ascii="Cambria Math" w:hAnsi="Cambria Math"/>
                </w:rPr>
                <m:t>mFRR</m:t>
              </m:r>
            </m:e>
            <m:sub>
              <m:r>
                <w:rPr>
                  <w:rFonts w:ascii="Cambria Math" w:hAnsi="Cambria Math"/>
                </w:rPr>
                <m:t>area</m:t>
              </m:r>
            </m:sub>
          </m:sSub>
        </m:oMath>
      </m:oMathPara>
    </w:p>
    <w:p w14:paraId="27112696" w14:textId="77777777" w:rsidR="003048BF" w:rsidRPr="0024559F" w:rsidRDefault="003048BF" w:rsidP="00911BE7">
      <w:pPr>
        <w:jc w:val="both"/>
        <w:rPr>
          <w:rFonts w:eastAsiaTheme="minorEastAsia"/>
        </w:rPr>
      </w:pPr>
    </w:p>
    <w:p w14:paraId="2063FB3E" w14:textId="77777777" w:rsidR="003048BF" w:rsidRPr="0024559F" w:rsidRDefault="003048BF" w:rsidP="00911BE7">
      <w:pPr>
        <w:jc w:val="both"/>
        <w:rPr>
          <w:rFonts w:eastAsiaTheme="minorEastAsia"/>
        </w:rPr>
      </w:pPr>
    </w:p>
    <w:p w14:paraId="3AC2F664" w14:textId="77777777" w:rsidR="003048BF" w:rsidRPr="0024559F" w:rsidRDefault="003048BF" w:rsidP="00911BE7">
      <w:pPr>
        <w:jc w:val="both"/>
        <w:rPr>
          <w:rFonts w:eastAsiaTheme="minorEastAsia"/>
        </w:rPr>
      </w:pPr>
    </w:p>
    <w:p w14:paraId="54B93D4B" w14:textId="77777777" w:rsidR="00A33D74" w:rsidRPr="0024559F" w:rsidRDefault="00A33D74" w:rsidP="00911BE7">
      <w:pPr>
        <w:pStyle w:val="ListParagraph"/>
        <w:ind w:left="1440"/>
        <w:rPr>
          <w:lang w:val="en-GB"/>
        </w:rPr>
      </w:pPr>
      <w:r w:rsidRPr="0024559F">
        <w:rPr>
          <w:lang w:val="en-GB"/>
        </w:rPr>
        <w:t>Where:</w:t>
      </w:r>
    </w:p>
    <w:p w14:paraId="61714CF9" w14:textId="7E72E695" w:rsidR="00A33D74" w:rsidRPr="0024559F" w:rsidRDefault="00A33D74" w:rsidP="00911BE7">
      <w:pPr>
        <w:pStyle w:val="ListParagraph"/>
        <w:ind w:left="1440"/>
        <w:rPr>
          <w:lang w:val="en-GB"/>
        </w:rPr>
      </w:pPr>
      <w:proofErr w:type="spellStart"/>
      <w:proofErr w:type="gramStart"/>
      <w:r w:rsidRPr="0024559F">
        <w:rPr>
          <w:i/>
          <w:iCs/>
          <w:lang w:val="en-GB"/>
        </w:rPr>
        <w:t>c</w:t>
      </w:r>
      <w:r w:rsidRPr="0024559F">
        <w:rPr>
          <w:i/>
          <w:iCs/>
          <w:vertAlign w:val="subscript"/>
          <w:lang w:val="en-GB"/>
        </w:rPr>
        <w:t>aFRR,</w:t>
      </w:r>
      <w:r w:rsidR="004B1CDE" w:rsidRPr="0024559F">
        <w:rPr>
          <w:i/>
          <w:iCs/>
          <w:vertAlign w:val="subscript"/>
          <w:lang w:val="en-GB"/>
        </w:rPr>
        <w:t>i</w:t>
      </w:r>
      <w:proofErr w:type="spellEnd"/>
      <w:proofErr w:type="gramEnd"/>
      <w:r w:rsidRPr="0024559F">
        <w:rPr>
          <w:lang w:val="en-GB"/>
        </w:rPr>
        <w:t xml:space="preserve"> – distribution key of aFRR balancing capacity volume in area </w:t>
      </w:r>
      <w:proofErr w:type="spellStart"/>
      <w:r w:rsidRPr="0024559F">
        <w:rPr>
          <w:i/>
          <w:iCs/>
          <w:lang w:val="en-GB"/>
        </w:rPr>
        <w:t>i</w:t>
      </w:r>
      <w:proofErr w:type="spellEnd"/>
      <w:r w:rsidRPr="0024559F">
        <w:rPr>
          <w:lang w:val="en-GB"/>
        </w:rPr>
        <w:t xml:space="preserve"> .</w:t>
      </w:r>
    </w:p>
    <w:p w14:paraId="52A2C76B" w14:textId="0EC3FE6D" w:rsidR="00A33D74" w:rsidRPr="0024559F" w:rsidRDefault="00A33D74" w:rsidP="00911BE7">
      <w:pPr>
        <w:pStyle w:val="ListParagraph"/>
        <w:ind w:left="1440"/>
        <w:rPr>
          <w:lang w:val="en-GB"/>
        </w:rPr>
      </w:pPr>
      <w:proofErr w:type="spellStart"/>
      <w:proofErr w:type="gramStart"/>
      <w:r w:rsidRPr="0024559F">
        <w:rPr>
          <w:i/>
          <w:iCs/>
          <w:lang w:val="en-GB"/>
        </w:rPr>
        <w:t>c</w:t>
      </w:r>
      <w:r w:rsidRPr="0024559F">
        <w:rPr>
          <w:i/>
          <w:iCs/>
          <w:vertAlign w:val="subscript"/>
          <w:lang w:val="en-GB"/>
        </w:rPr>
        <w:t>mFRR,</w:t>
      </w:r>
      <w:r w:rsidR="004B1CDE" w:rsidRPr="0024559F">
        <w:rPr>
          <w:i/>
          <w:iCs/>
          <w:vertAlign w:val="subscript"/>
          <w:lang w:val="en-GB"/>
        </w:rPr>
        <w:t>i</w:t>
      </w:r>
      <w:proofErr w:type="spellEnd"/>
      <w:proofErr w:type="gramEnd"/>
      <w:r w:rsidRPr="0024559F">
        <w:rPr>
          <w:lang w:val="en-GB"/>
        </w:rPr>
        <w:t xml:space="preserve"> – distribution key of mFRR balancing capacity volume in area </w:t>
      </w:r>
      <w:proofErr w:type="spellStart"/>
      <w:r w:rsidRPr="0024559F">
        <w:rPr>
          <w:i/>
          <w:iCs/>
          <w:lang w:val="en-GB"/>
        </w:rPr>
        <w:t>i</w:t>
      </w:r>
      <w:proofErr w:type="spellEnd"/>
      <w:r w:rsidRPr="0024559F">
        <w:rPr>
          <w:lang w:val="en-GB"/>
        </w:rPr>
        <w:t xml:space="preserve"> .</w:t>
      </w:r>
    </w:p>
    <w:p w14:paraId="49C94157" w14:textId="77777777" w:rsidR="00A33D74" w:rsidRPr="0024559F" w:rsidRDefault="00A33D74" w:rsidP="00911BE7">
      <w:pPr>
        <w:pStyle w:val="ListParagraph"/>
        <w:ind w:left="1440"/>
        <w:rPr>
          <w:lang w:val="en-GB"/>
        </w:rPr>
      </w:pPr>
      <w:proofErr w:type="spellStart"/>
      <w:r w:rsidRPr="0024559F">
        <w:rPr>
          <w:i/>
          <w:iCs/>
          <w:lang w:val="en-GB"/>
        </w:rPr>
        <w:t>aFRR</w:t>
      </w:r>
      <w:r w:rsidRPr="0024559F">
        <w:rPr>
          <w:i/>
          <w:iCs/>
          <w:vertAlign w:val="subscript"/>
          <w:lang w:val="en-GB"/>
        </w:rPr>
        <w:t>Baltic</w:t>
      </w:r>
      <w:proofErr w:type="spellEnd"/>
      <w:r w:rsidRPr="0024559F">
        <w:rPr>
          <w:lang w:val="en-GB"/>
        </w:rPr>
        <w:t xml:space="preserve"> – aFRR balancing capacity dimensioned for the Baltic bidding zone.</w:t>
      </w:r>
    </w:p>
    <w:p w14:paraId="48DC8EE8" w14:textId="77777777" w:rsidR="00A33D74" w:rsidRPr="0024559F" w:rsidRDefault="00A33D74" w:rsidP="00911BE7">
      <w:pPr>
        <w:pStyle w:val="ListParagraph"/>
        <w:ind w:left="1440"/>
        <w:rPr>
          <w:lang w:val="en-GB"/>
        </w:rPr>
      </w:pPr>
      <w:proofErr w:type="spellStart"/>
      <w:r w:rsidRPr="0024559F">
        <w:rPr>
          <w:i/>
          <w:iCs/>
          <w:lang w:val="en-GB"/>
        </w:rPr>
        <w:t>mFRR</w:t>
      </w:r>
      <w:r w:rsidRPr="0024559F">
        <w:rPr>
          <w:i/>
          <w:iCs/>
          <w:vertAlign w:val="subscript"/>
          <w:lang w:val="en-GB"/>
        </w:rPr>
        <w:t>Baltic</w:t>
      </w:r>
      <w:proofErr w:type="spellEnd"/>
      <w:r w:rsidRPr="0024559F">
        <w:rPr>
          <w:lang w:val="en-GB"/>
        </w:rPr>
        <w:t xml:space="preserve"> – mFRR balancing capacity volume dimensioned for the Baltic bidding zone.</w:t>
      </w:r>
    </w:p>
    <w:p w14:paraId="50632E20" w14:textId="77777777" w:rsidR="00A33D74" w:rsidRPr="0024559F" w:rsidRDefault="00A33D74" w:rsidP="00911BE7">
      <w:pPr>
        <w:pStyle w:val="ListParagraph"/>
        <w:ind w:left="1440"/>
        <w:rPr>
          <w:lang w:val="en-GB"/>
        </w:rPr>
      </w:pPr>
      <w:proofErr w:type="spellStart"/>
      <w:proofErr w:type="gramStart"/>
      <w:r w:rsidRPr="0024559F">
        <w:rPr>
          <w:i/>
          <w:iCs/>
          <w:lang w:val="en-GB"/>
        </w:rPr>
        <w:t>aFRR</w:t>
      </w:r>
      <w:r w:rsidRPr="0024559F">
        <w:rPr>
          <w:i/>
          <w:iCs/>
          <w:vertAlign w:val="subscript"/>
          <w:lang w:val="en-GB"/>
        </w:rPr>
        <w:t>LFC,i</w:t>
      </w:r>
      <w:proofErr w:type="spellEnd"/>
      <w:proofErr w:type="gramEnd"/>
      <w:r w:rsidRPr="0024559F">
        <w:rPr>
          <w:i/>
          <w:iCs/>
          <w:lang w:val="en-GB"/>
        </w:rPr>
        <w:t xml:space="preserve"> </w:t>
      </w:r>
      <w:r w:rsidRPr="0024559F">
        <w:rPr>
          <w:lang w:val="en-GB"/>
        </w:rPr>
        <w:t xml:space="preserve">– aFRR balancing capacity volume dimensioned for the area </w:t>
      </w:r>
      <w:proofErr w:type="spellStart"/>
      <w:r w:rsidRPr="0024559F">
        <w:rPr>
          <w:i/>
          <w:iCs/>
          <w:lang w:val="en-GB"/>
        </w:rPr>
        <w:t>i</w:t>
      </w:r>
      <w:proofErr w:type="spellEnd"/>
      <w:r w:rsidRPr="0024559F">
        <w:rPr>
          <w:lang w:val="en-GB"/>
        </w:rPr>
        <w:t>.</w:t>
      </w:r>
    </w:p>
    <w:p w14:paraId="07ED6549" w14:textId="42F420CA" w:rsidR="00A33D74" w:rsidRPr="0024559F" w:rsidRDefault="00A33D74" w:rsidP="00911BE7">
      <w:pPr>
        <w:pStyle w:val="ListParagraph"/>
        <w:ind w:left="1440"/>
        <w:rPr>
          <w:lang w:val="en-GB"/>
        </w:rPr>
      </w:pPr>
      <w:proofErr w:type="gramStart"/>
      <w:r w:rsidRPr="0024559F">
        <w:rPr>
          <w:i/>
          <w:iCs/>
          <w:lang w:val="en-GB"/>
        </w:rPr>
        <w:t>mFRR</w:t>
      </w:r>
      <w:r w:rsidRPr="0024559F">
        <w:rPr>
          <w:i/>
          <w:iCs/>
          <w:vertAlign w:val="subscript"/>
          <w:lang w:val="en-GB"/>
        </w:rPr>
        <w:t>LFC,i</w:t>
      </w:r>
      <w:proofErr w:type="gramEnd"/>
      <w:r w:rsidRPr="0024559F">
        <w:rPr>
          <w:lang w:val="en-GB"/>
        </w:rPr>
        <w:t xml:space="preserve"> – mFRR balancing capacity volume dimensioned for the area </w:t>
      </w:r>
      <w:proofErr w:type="spellStart"/>
      <w:r w:rsidRPr="0024559F">
        <w:rPr>
          <w:i/>
          <w:iCs/>
          <w:lang w:val="en-GB"/>
        </w:rPr>
        <w:t>i</w:t>
      </w:r>
      <w:proofErr w:type="spellEnd"/>
      <w:r w:rsidRPr="0024559F">
        <w:rPr>
          <w:lang w:val="en-GB"/>
        </w:rPr>
        <w:t>.</w:t>
      </w:r>
    </w:p>
    <w:p w14:paraId="151FF7DB" w14:textId="1187882A" w:rsidR="00F749A8" w:rsidRPr="0024559F" w:rsidRDefault="00F749A8" w:rsidP="00911BE7">
      <w:pPr>
        <w:pStyle w:val="ListParagraph"/>
        <w:ind w:left="1440"/>
        <w:rPr>
          <w:lang w:val="en-GB"/>
        </w:rPr>
      </w:pPr>
      <w:proofErr w:type="gramStart"/>
      <w:r w:rsidRPr="0024559F">
        <w:rPr>
          <w:i/>
          <w:iCs/>
          <w:lang w:val="en-GB"/>
        </w:rPr>
        <w:t>FRR</w:t>
      </w:r>
      <w:r w:rsidRPr="0024559F">
        <w:rPr>
          <w:i/>
          <w:iCs/>
          <w:vertAlign w:val="subscript"/>
          <w:lang w:val="en-GB"/>
        </w:rPr>
        <w:t>LFC,i</w:t>
      </w:r>
      <w:proofErr w:type="gramEnd"/>
      <w:r w:rsidRPr="0024559F">
        <w:rPr>
          <w:lang w:val="en-GB"/>
        </w:rPr>
        <w:t xml:space="preserve"> – </w:t>
      </w:r>
      <w:r w:rsidR="00A46A4B" w:rsidRPr="0024559F">
        <w:rPr>
          <w:lang w:val="en-GB"/>
        </w:rPr>
        <w:t>distributed FRR balancing capacity volume</w:t>
      </w:r>
      <w:r w:rsidR="00C40047" w:rsidRPr="0024559F">
        <w:rPr>
          <w:lang w:val="en-GB"/>
        </w:rPr>
        <w:t xml:space="preserve"> for the area </w:t>
      </w:r>
      <w:proofErr w:type="spellStart"/>
      <w:r w:rsidR="00C40047" w:rsidRPr="0024559F">
        <w:rPr>
          <w:i/>
          <w:iCs/>
          <w:lang w:val="en-GB"/>
        </w:rPr>
        <w:t>i</w:t>
      </w:r>
      <w:proofErr w:type="spellEnd"/>
      <w:r w:rsidR="00A239E8" w:rsidRPr="0024559F">
        <w:rPr>
          <w:lang w:val="en-GB"/>
        </w:rPr>
        <w:t>.</w:t>
      </w:r>
    </w:p>
    <w:p w14:paraId="0468D5BA" w14:textId="0A277634" w:rsidR="00DB22E1" w:rsidRPr="0024559F" w:rsidRDefault="00DB22E1" w:rsidP="00911BE7">
      <w:pPr>
        <w:pStyle w:val="ListParagraph"/>
        <w:ind w:left="1440"/>
        <w:rPr>
          <w:lang w:val="en-GB"/>
        </w:rPr>
      </w:pPr>
    </w:p>
    <w:p w14:paraId="3541F426" w14:textId="355CACE3" w:rsidR="002B4179" w:rsidRPr="0024559F" w:rsidRDefault="00A1353A" w:rsidP="00911BE7">
      <w:pPr>
        <w:jc w:val="both"/>
      </w:pPr>
      <w:r w:rsidRPr="0024559F">
        <w:t>The Baltic TSOs shall publi</w:t>
      </w:r>
      <w:r w:rsidR="00C654AA" w:rsidRPr="0024559F">
        <w:t>sh the</w:t>
      </w:r>
      <w:r w:rsidR="00A50F9A" w:rsidRPr="0024559F">
        <w:t xml:space="preserve"> </w:t>
      </w:r>
      <w:r w:rsidR="00684B96" w:rsidRPr="0024559F">
        <w:t>star</w:t>
      </w:r>
      <w:r w:rsidR="004D45F6" w:rsidRPr="0024559F">
        <w:t>t</w:t>
      </w:r>
      <w:r w:rsidR="00684B96" w:rsidRPr="0024559F">
        <w:t>ing time and the</w:t>
      </w:r>
      <w:r w:rsidR="00C654AA" w:rsidRPr="0024559F">
        <w:t xml:space="preserve"> reason for the initiation of fallback procedures.</w:t>
      </w:r>
      <w:r w:rsidR="00C84E91" w:rsidRPr="0024559F">
        <w:t xml:space="preserve"> </w:t>
      </w:r>
      <w:r w:rsidR="00514B07" w:rsidRPr="0024559F">
        <w:t>The allocated cross-zonal capacity</w:t>
      </w:r>
      <w:r w:rsidR="00DE5055" w:rsidRPr="0024559F">
        <w:t xml:space="preserve"> for the exchange of balancing capacity or sharing of reserves</w:t>
      </w:r>
      <w:r w:rsidR="00514B07" w:rsidRPr="0024559F">
        <w:t xml:space="preserve"> </w:t>
      </w:r>
      <w:r w:rsidR="002B6E94" w:rsidRPr="0024559F">
        <w:t xml:space="preserve">and </w:t>
      </w:r>
      <w:r w:rsidR="00E43C09" w:rsidRPr="0024559F">
        <w:t xml:space="preserve">the procured amount of FCR, aFRR </w:t>
      </w:r>
      <w:r w:rsidR="00976522" w:rsidRPr="0024559F">
        <w:t xml:space="preserve">and mFRR </w:t>
      </w:r>
      <w:r w:rsidR="00281EB9" w:rsidRPr="0024559F">
        <w:t xml:space="preserve">shall also be </w:t>
      </w:r>
      <w:r w:rsidR="005027EF" w:rsidRPr="0024559F">
        <w:t>published.</w:t>
      </w:r>
    </w:p>
    <w:p w14:paraId="11A45D71" w14:textId="3783650C" w:rsidR="5FC231F5" w:rsidRPr="0024559F" w:rsidRDefault="5FC231F5" w:rsidP="5FC231F5">
      <w:pPr>
        <w:pStyle w:val="textregular"/>
        <w:rPr>
          <w:rFonts w:eastAsia="Calibri"/>
        </w:rPr>
      </w:pPr>
    </w:p>
    <w:p w14:paraId="06270711" w14:textId="6970A3CF" w:rsidR="00370583" w:rsidRPr="0024559F" w:rsidRDefault="16C7A2FD" w:rsidP="1413E2D0">
      <w:pPr>
        <w:pStyle w:val="headline1"/>
        <w:rPr>
          <w:lang w:val="en-GB"/>
        </w:rPr>
      </w:pPr>
      <w:bookmarkStart w:id="21" w:name="_Toc2063053382"/>
      <w:r w:rsidRPr="5C5F867D">
        <w:rPr>
          <w:lang w:val="en-GB"/>
        </w:rPr>
        <w:t>TSO-BSP settlemen</w:t>
      </w:r>
      <w:r w:rsidR="6AC62C1A" w:rsidRPr="5C5F867D">
        <w:rPr>
          <w:lang w:val="en-GB"/>
        </w:rPr>
        <w:t>t</w:t>
      </w:r>
      <w:bookmarkEnd w:id="21"/>
    </w:p>
    <w:p w14:paraId="7001D224" w14:textId="634E500E" w:rsidR="363D17E7" w:rsidRPr="0024559F" w:rsidRDefault="2FFEAB25" w:rsidP="19AE113E">
      <w:pPr>
        <w:pStyle w:val="textregular"/>
      </w:pPr>
      <w:r w:rsidRPr="0024559F">
        <w:lastRenderedPageBreak/>
        <w:t xml:space="preserve">In all of the Baltic bidding zones, the FCR price shall be a single marginal price, as </w:t>
      </w:r>
      <w:r w:rsidR="00C27163" w:rsidRPr="0024559F">
        <w:t xml:space="preserve">CZC shall not be allocated for </w:t>
      </w:r>
      <w:proofErr w:type="gramStart"/>
      <w:r w:rsidR="0024559F" w:rsidRPr="0024559F">
        <w:t>FCR</w:t>
      </w:r>
      <w:proofErr w:type="gramEnd"/>
      <w:r w:rsidR="0029737D">
        <w:t xml:space="preserve"> </w:t>
      </w:r>
      <w:r w:rsidR="00C27163" w:rsidRPr="0024559F">
        <w:t>and congestion is not possible</w:t>
      </w:r>
      <w:r w:rsidR="5606E64E" w:rsidRPr="0024559F">
        <w:t xml:space="preserve">. </w:t>
      </w:r>
    </w:p>
    <w:p w14:paraId="4F4FAA3D" w14:textId="5EDF8152" w:rsidR="009A705C" w:rsidRPr="0024559F" w:rsidRDefault="009A705C" w:rsidP="009A705C">
      <w:pPr>
        <w:pStyle w:val="textregular"/>
      </w:pPr>
      <w:r w:rsidRPr="0024559F">
        <w:t xml:space="preserve">The FRR price is formulated with a marginal pricing principle </w:t>
      </w:r>
      <w:proofErr w:type="gramStart"/>
      <w:r w:rsidRPr="0024559F">
        <w:t>taking into account</w:t>
      </w:r>
      <w:proofErr w:type="gramEnd"/>
      <w:r w:rsidRPr="0024559F">
        <w:t xml:space="preserve"> two major parameters – the price of the most expensive accepted bid and CZC congestion between bidding zones. In a single bidding zone, or a set of uncongested bidding zones, between which there is balancing capacity exchange or sharing, there shall be a single balancing capacity price per MTU and per balancing capacity product and direction which shall be equal to the most expensive accepted bid in that bidding zone or set of uncongested bidding zones.  </w:t>
      </w:r>
    </w:p>
    <w:p w14:paraId="3E42C758" w14:textId="525EEE97" w:rsidR="009A705C" w:rsidRPr="0024559F" w:rsidRDefault="2D69EC18" w:rsidP="009A705C">
      <w:pPr>
        <w:pStyle w:val="textregular"/>
      </w:pPr>
      <w:r w:rsidRPr="0024559F">
        <w:t xml:space="preserve">In case congestion is detected between bidding zones, the formulated prices can diverge. </w:t>
      </w:r>
      <w:r w:rsidR="0BF61A12" w:rsidRPr="0024559F">
        <w:t>If the import for a bidding zone is hindered by congestion, the balancing capacity price</w:t>
      </w:r>
      <w:r w:rsidR="45D171B3" w:rsidRPr="0024559F">
        <w:t xml:space="preserve"> in that bidding zone</w:t>
      </w:r>
      <w:r w:rsidR="0BF61A12" w:rsidRPr="0024559F">
        <w:t xml:space="preserve"> shall</w:t>
      </w:r>
      <w:r w:rsidR="4EC861CE" w:rsidRPr="0024559F">
        <w:t xml:space="preserve"> </w:t>
      </w:r>
      <w:r w:rsidR="0BF61A12" w:rsidRPr="0024559F">
        <w:t xml:space="preserve">be taken to be the highest of the </w:t>
      </w:r>
      <w:r w:rsidR="067AF805" w:rsidRPr="0024559F">
        <w:t xml:space="preserve">following values: the most expensive selected bid </w:t>
      </w:r>
      <w:r w:rsidR="2E7BA8FB" w:rsidRPr="0024559F">
        <w:t>cost</w:t>
      </w:r>
      <w:r w:rsidR="067AF805" w:rsidRPr="0024559F">
        <w:t xml:space="preserve"> in that area and the balancing capacity price in the exporting area.</w:t>
      </w:r>
      <w:r w:rsidR="0CF2BA2D" w:rsidRPr="0024559F">
        <w:t xml:space="preserve"> This means that the balancing capacity price in the importing area will always be </w:t>
      </w:r>
      <w:r w:rsidR="0024559F" w:rsidRPr="0024559F">
        <w:t>equal to</w:t>
      </w:r>
      <w:r w:rsidR="0CF2BA2D" w:rsidRPr="0024559F">
        <w:t xml:space="preserve"> or higher than the balancing capacity price in the exporting area.</w:t>
      </w:r>
      <w:r w:rsidR="067AF805" w:rsidRPr="0024559F">
        <w:t xml:space="preserve"> </w:t>
      </w:r>
      <w:r w:rsidR="00E42629" w:rsidRPr="0024559F">
        <w:t>The definition of</w:t>
      </w:r>
      <w:r w:rsidR="00425117" w:rsidRPr="0024559F">
        <w:t xml:space="preserve"> congestion is provided in</w:t>
      </w:r>
      <w:r w:rsidRPr="0024559F">
        <w:t xml:space="preserve"> CCR TSOs proposal in accordance with Article 41(1) of the Commission Regulation (EU) 2017/2195 of 23 November 2017 establishing a guideline on electricity balancing. </w:t>
      </w:r>
    </w:p>
    <w:p w14:paraId="50DD9B20" w14:textId="4F813F8F" w:rsidR="001B2A3E" w:rsidRPr="0024559F" w:rsidRDefault="009A705C" w:rsidP="009A705C">
      <w:pPr>
        <w:pStyle w:val="textregular"/>
      </w:pPr>
      <w:r w:rsidRPr="0024559F">
        <w:t>The rule covering the need to have the same price across uncongested bidding zones is intended to ensure that, where there is a group of uncongested bidding zones, the price in each zone reflects the potential value of investment in additional FRR in each zone as a means of meeting the demand of the other zones in the group.</w:t>
      </w:r>
      <w:r w:rsidR="0D97F6E5" w:rsidRPr="0024559F">
        <w:t xml:space="preserve"> Two examples are presented below that show how the clearing prices are determined. </w:t>
      </w:r>
      <w:r w:rsidR="1963EFC7" w:rsidRPr="0024559F">
        <w:t>This depends</w:t>
      </w:r>
      <w:r w:rsidR="6CEA697D" w:rsidRPr="0024559F">
        <w:t xml:space="preserve"> on wh</w:t>
      </w:r>
      <w:r w:rsidR="06B45EBD" w:rsidRPr="0024559F">
        <w:t xml:space="preserve">ere the congestion is located and in which direction, and on the most expensive accepted bids in each area. </w:t>
      </w:r>
    </w:p>
    <w:tbl>
      <w:tblPr>
        <w:tblStyle w:val="TableGrid"/>
        <w:tblW w:w="0" w:type="auto"/>
        <w:tblLook w:val="04A0" w:firstRow="1" w:lastRow="0" w:firstColumn="1" w:lastColumn="0" w:noHBand="0" w:noVBand="1"/>
      </w:tblPr>
      <w:tblGrid>
        <w:gridCol w:w="4757"/>
        <w:gridCol w:w="4757"/>
      </w:tblGrid>
      <w:tr w:rsidR="00D275E8" w:rsidRPr="0024559F" w14:paraId="153DE48F" w14:textId="77777777" w:rsidTr="68683882">
        <w:tc>
          <w:tcPr>
            <w:tcW w:w="4757" w:type="dxa"/>
          </w:tcPr>
          <w:p w14:paraId="0CEFA14B" w14:textId="77777777" w:rsidR="00D275E8" w:rsidRPr="0024559F" w:rsidRDefault="00D275E8" w:rsidP="009C7BEA">
            <w:pPr>
              <w:pStyle w:val="textregular"/>
            </w:pPr>
            <w:r w:rsidRPr="0024559F">
              <w:t>Example 1. No congestion</w:t>
            </w:r>
          </w:p>
          <w:p w14:paraId="4B309138" w14:textId="69F77743" w:rsidR="0019136E" w:rsidRPr="0024559F" w:rsidRDefault="0019136E" w:rsidP="009C7BEA">
            <w:pPr>
              <w:pStyle w:val="textregular"/>
            </w:pPr>
            <w:r w:rsidRPr="0024559F">
              <w:rPr>
                <w:noProof/>
              </w:rPr>
              <w:drawing>
                <wp:inline distT="0" distB="0" distL="0" distR="0" wp14:anchorId="55A72360" wp14:editId="0804F225">
                  <wp:extent cx="2859405" cy="4395470"/>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9405" cy="4395470"/>
                          </a:xfrm>
                          <a:prstGeom prst="rect">
                            <a:avLst/>
                          </a:prstGeom>
                          <a:noFill/>
                        </pic:spPr>
                      </pic:pic>
                    </a:graphicData>
                  </a:graphic>
                </wp:inline>
              </w:drawing>
            </w:r>
          </w:p>
          <w:p w14:paraId="5AF23213" w14:textId="77777777" w:rsidR="0019136E" w:rsidRPr="0024559F" w:rsidRDefault="0019136E" w:rsidP="009C7BEA">
            <w:pPr>
              <w:pStyle w:val="textregular"/>
            </w:pPr>
          </w:p>
          <w:p w14:paraId="22830E37" w14:textId="20703E6C" w:rsidR="00BF2D78" w:rsidRPr="0024559F" w:rsidRDefault="307AB410" w:rsidP="00BF2D78">
            <w:pPr>
              <w:pStyle w:val="textregular"/>
            </w:pPr>
            <w:r>
              <w:t>In case no congestion is identified, the clearing price in all bidding zones is equal to the price of the highest priced accepted bid</w:t>
            </w:r>
            <w:r w:rsidR="432BA688">
              <w:t xml:space="preserve">, which is 16 € /MW. </w:t>
            </w:r>
          </w:p>
          <w:p w14:paraId="4D3BF850" w14:textId="31BFB4AD" w:rsidR="004656E1" w:rsidRPr="0024559F" w:rsidRDefault="004656E1" w:rsidP="009C7BEA">
            <w:pPr>
              <w:pStyle w:val="textregular"/>
            </w:pPr>
          </w:p>
        </w:tc>
        <w:tc>
          <w:tcPr>
            <w:tcW w:w="4757" w:type="dxa"/>
          </w:tcPr>
          <w:p w14:paraId="70EB2879" w14:textId="77777777" w:rsidR="00D275E8" w:rsidRPr="0024559F" w:rsidRDefault="00D275E8" w:rsidP="009C7BEA">
            <w:pPr>
              <w:pStyle w:val="textregular"/>
            </w:pPr>
            <w:r w:rsidRPr="0024559F">
              <w:lastRenderedPageBreak/>
              <w:t>Example 2. Congestion on single border</w:t>
            </w:r>
          </w:p>
          <w:p w14:paraId="0E1CC57A" w14:textId="72A40885" w:rsidR="0019136E" w:rsidRPr="0024559F" w:rsidRDefault="0019136E" w:rsidP="009C7BEA">
            <w:pPr>
              <w:pStyle w:val="textregular"/>
            </w:pPr>
            <w:r w:rsidRPr="0024559F">
              <w:rPr>
                <w:noProof/>
              </w:rPr>
              <w:drawing>
                <wp:inline distT="0" distB="0" distL="0" distR="0" wp14:anchorId="19E7B8C6" wp14:editId="69A8517A">
                  <wp:extent cx="2859405" cy="4395470"/>
                  <wp:effectExtent l="0" t="0" r="0" b="5080"/>
                  <wp:docPr id="769374724" name="Picture 769374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9405" cy="4395470"/>
                          </a:xfrm>
                          <a:prstGeom prst="rect">
                            <a:avLst/>
                          </a:prstGeom>
                          <a:noFill/>
                        </pic:spPr>
                      </pic:pic>
                    </a:graphicData>
                  </a:graphic>
                </wp:inline>
              </w:drawing>
            </w:r>
          </w:p>
          <w:p w14:paraId="792F9A5F" w14:textId="77777777" w:rsidR="0019136E" w:rsidRPr="0024559F" w:rsidRDefault="0019136E" w:rsidP="009C7BEA">
            <w:pPr>
              <w:pStyle w:val="textregular"/>
            </w:pPr>
          </w:p>
          <w:p w14:paraId="10B1EF81" w14:textId="0530E0F1" w:rsidR="004656E1" w:rsidRPr="0024559F" w:rsidRDefault="32787E12" w:rsidP="009C7BEA">
            <w:pPr>
              <w:pStyle w:val="textregular"/>
            </w:pPr>
            <w:r>
              <w:t>In case of congestion on one of the Baltic borders, the clearing price shall be equal in the bidding zones for which there is no congestion in between, but different for the one bidding zone which is separated by congestion.</w:t>
            </w:r>
            <w:r w:rsidR="0C78A1EB">
              <w:t xml:space="preserve"> The two bottom bidding zones will have </w:t>
            </w:r>
            <w:r w:rsidR="0F0F1509">
              <w:t>a price</w:t>
            </w:r>
            <w:r w:rsidR="0C78A1EB">
              <w:t xml:space="preserve"> that is the maximum of the highest accepted bid price and the price in the</w:t>
            </w:r>
            <w:r w:rsidR="52B0A88B">
              <w:t xml:space="preserve"> top bidding zone. The clearing price in the top bidding zone will be determined from the </w:t>
            </w:r>
            <w:r w:rsidR="65DB37E8">
              <w:t>highest accepted bid price in that area.</w:t>
            </w:r>
          </w:p>
        </w:tc>
      </w:tr>
    </w:tbl>
    <w:p w14:paraId="4D4056BD" w14:textId="28C2034F" w:rsidR="423C8D3B" w:rsidRPr="0024559F" w:rsidRDefault="423C8D3B" w:rsidP="423C8D3B">
      <w:pPr>
        <w:pStyle w:val="textregular"/>
      </w:pPr>
    </w:p>
    <w:p w14:paraId="4153291E" w14:textId="77777777" w:rsidR="004C23D6" w:rsidRPr="0024559F" w:rsidRDefault="004C23D6" w:rsidP="423C8D3B">
      <w:pPr>
        <w:pStyle w:val="textregular"/>
      </w:pPr>
    </w:p>
    <w:p w14:paraId="05F1CC75" w14:textId="28EC569A" w:rsidR="68683882" w:rsidRDefault="68683882" w:rsidP="68683882">
      <w:pPr>
        <w:pStyle w:val="textregular"/>
      </w:pPr>
    </w:p>
    <w:p w14:paraId="054180F8" w14:textId="09B661C3" w:rsidR="68683882" w:rsidRDefault="68683882" w:rsidP="68683882">
      <w:pPr>
        <w:pStyle w:val="textregular"/>
      </w:pPr>
    </w:p>
    <w:p w14:paraId="4688DDB9" w14:textId="77777777" w:rsidR="004C23D6" w:rsidRPr="0024559F" w:rsidRDefault="004C23D6" w:rsidP="423C8D3B">
      <w:pPr>
        <w:pStyle w:val="textregular"/>
      </w:pPr>
    </w:p>
    <w:p w14:paraId="50E13DF0" w14:textId="4123E965" w:rsidR="00370583" w:rsidRPr="0024559F" w:rsidRDefault="47F2049D" w:rsidP="1413E2D0">
      <w:pPr>
        <w:pStyle w:val="headline1"/>
        <w:numPr>
          <w:ilvl w:val="0"/>
          <w:numId w:val="10"/>
        </w:numPr>
        <w:rPr>
          <w:lang w:val="en-GB"/>
        </w:rPr>
      </w:pPr>
      <w:bookmarkStart w:id="22" w:name="_Toc319380997"/>
      <w:r w:rsidRPr="5C5F867D">
        <w:rPr>
          <w:lang w:val="en-GB"/>
        </w:rPr>
        <w:t>Congestion income</w:t>
      </w:r>
      <w:bookmarkEnd w:id="22"/>
    </w:p>
    <w:p w14:paraId="5354F1ED" w14:textId="363F4B42" w:rsidR="3D8A9BA4" w:rsidRDefault="3D8A9BA4" w:rsidP="423C8D3B">
      <w:pPr>
        <w:pStyle w:val="textregular"/>
        <w:rPr>
          <w:lang w:val="en-US"/>
        </w:rPr>
      </w:pPr>
      <w:r w:rsidRPr="0024559F">
        <w:t xml:space="preserve">Congestion revenue shall be generated and shared on bidding zone borders in the directions where congestion is detected and </w:t>
      </w:r>
      <w:r w:rsidR="3AA4E822" w:rsidRPr="0024559F">
        <w:t xml:space="preserve">where CZC is allocated for balancing capacity products. The exact rules for </w:t>
      </w:r>
      <w:r w:rsidR="491088D4" w:rsidRPr="0024559F">
        <w:t>generating and sharing congestion revenue are established in</w:t>
      </w:r>
      <w:r w:rsidR="71196AEF" w:rsidRPr="0024559F">
        <w:t xml:space="preserve"> Baltic CCR TSOs proposal in accordance with Article 41(1) of the Commission Regulation (EU) 2017/2195 of 23 November 2017 establishing a guideline on electricity balancing.</w:t>
      </w:r>
      <w:r>
        <w:br/>
      </w:r>
    </w:p>
    <w:p w14:paraId="427AB615" w14:textId="290B6B6C" w:rsidR="423C8D3B" w:rsidRDefault="423C8D3B" w:rsidP="423C8D3B">
      <w:pPr>
        <w:pStyle w:val="textregular"/>
        <w:rPr>
          <w:lang w:val="en-US"/>
        </w:rPr>
      </w:pPr>
    </w:p>
    <w:p w14:paraId="15E75D88" w14:textId="60B75AB5" w:rsidR="423C8D3B" w:rsidRDefault="423C8D3B" w:rsidP="423C8D3B">
      <w:pPr>
        <w:pStyle w:val="textregular"/>
        <w:rPr>
          <w:lang w:val="en-US"/>
        </w:rPr>
      </w:pPr>
    </w:p>
    <w:sectPr w:rsidR="423C8D3B" w:rsidSect="002726BC">
      <w:footerReference w:type="default" r:id="rId20"/>
      <w:footerReference w:type="first" r:id="rId21"/>
      <w:pgSz w:w="11906" w:h="16838"/>
      <w:pgMar w:top="1560" w:right="1021" w:bottom="1701" w:left="1361" w:header="709"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A8F1C" w14:textId="77777777" w:rsidR="008B06A4" w:rsidRDefault="008B06A4" w:rsidP="00B04144">
      <w:r>
        <w:separator/>
      </w:r>
    </w:p>
  </w:endnote>
  <w:endnote w:type="continuationSeparator" w:id="0">
    <w:p w14:paraId="29AD75BB" w14:textId="77777777" w:rsidR="008B06A4" w:rsidRDefault="008B06A4" w:rsidP="00B04144">
      <w:r>
        <w:continuationSeparator/>
      </w:r>
    </w:p>
  </w:endnote>
  <w:endnote w:type="continuationNotice" w:id="1">
    <w:p w14:paraId="1B53B8C3" w14:textId="77777777" w:rsidR="008B06A4" w:rsidRDefault="008B0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946773"/>
      <w:docPartObj>
        <w:docPartGallery w:val="Page Numbers (Bottom of Page)"/>
        <w:docPartUnique/>
      </w:docPartObj>
    </w:sdtPr>
    <w:sdtEndPr/>
    <w:sdtContent>
      <w:p w14:paraId="20130C95" w14:textId="17BEBF82" w:rsidR="00D72BCC" w:rsidRDefault="00D72BCC">
        <w:pPr>
          <w:pStyle w:val="Footer"/>
          <w:jc w:val="center"/>
        </w:pPr>
        <w:r>
          <w:fldChar w:fldCharType="begin"/>
        </w:r>
        <w:r>
          <w:instrText>PAGE   \* MERGEFORMAT</w:instrText>
        </w:r>
        <w:r>
          <w:fldChar w:fldCharType="separate"/>
        </w:r>
        <w:r>
          <w:rPr>
            <w:lang w:val="lt-LT"/>
          </w:rPr>
          <w:t>2</w:t>
        </w:r>
        <w:r>
          <w:fldChar w:fldCharType="end"/>
        </w:r>
      </w:p>
    </w:sdtContent>
  </w:sdt>
  <w:p w14:paraId="2DBFB8DA" w14:textId="77777777" w:rsidR="001D3438" w:rsidRDefault="001D3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E05A" w14:textId="2742B863" w:rsidR="00083187" w:rsidRPr="002726BC" w:rsidRDefault="00083187">
    <w:pPr>
      <w:pStyle w:val="Footer"/>
      <w:jc w:val="center"/>
      <w:rPr>
        <w:color w:val="FFFFFF" w:themeColor="background1"/>
      </w:rPr>
    </w:pPr>
    <w:r w:rsidRPr="002726BC">
      <w:rPr>
        <w:color w:val="FFFFFF" w:themeColor="background1"/>
      </w:rPr>
      <w:fldChar w:fldCharType="begin"/>
    </w:r>
    <w:r w:rsidRPr="002726BC">
      <w:rPr>
        <w:color w:val="FFFFFF" w:themeColor="background1"/>
      </w:rPr>
      <w:instrText>PAGE   \* MERGEFORMAT</w:instrText>
    </w:r>
    <w:r w:rsidRPr="002726BC">
      <w:rPr>
        <w:color w:val="FFFFFF" w:themeColor="background1"/>
      </w:rPr>
      <w:fldChar w:fldCharType="separate"/>
    </w:r>
    <w:r w:rsidRPr="002726BC">
      <w:rPr>
        <w:color w:val="FFFFFF" w:themeColor="background1"/>
        <w:lang w:val="lt-LT"/>
      </w:rPr>
      <w:t>2</w:t>
    </w:r>
    <w:r w:rsidRPr="002726BC">
      <w:rPr>
        <w:color w:val="FFFFFF" w:themeColor="background1"/>
      </w:rPr>
      <w:fldChar w:fldCharType="end"/>
    </w:r>
  </w:p>
  <w:p w14:paraId="1A5F222D" w14:textId="77777777" w:rsidR="001D3438" w:rsidRDefault="001D3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4B143" w14:textId="77777777" w:rsidR="008B06A4" w:rsidRDefault="008B06A4" w:rsidP="00B04144">
      <w:r>
        <w:separator/>
      </w:r>
    </w:p>
  </w:footnote>
  <w:footnote w:type="continuationSeparator" w:id="0">
    <w:p w14:paraId="27258CCF" w14:textId="77777777" w:rsidR="008B06A4" w:rsidRDefault="008B06A4" w:rsidP="00B04144">
      <w:r>
        <w:continuationSeparator/>
      </w:r>
    </w:p>
  </w:footnote>
  <w:footnote w:type="continuationNotice" w:id="1">
    <w:p w14:paraId="63F55710" w14:textId="77777777" w:rsidR="008B06A4" w:rsidRDefault="008B06A4"/>
  </w:footnote>
  <w:footnote w:id="2">
    <w:p w14:paraId="0CE996C3" w14:textId="2CF64B44" w:rsidR="00AA66E9" w:rsidRPr="00AA66E9" w:rsidRDefault="00AA66E9">
      <w:pPr>
        <w:pStyle w:val="FootnoteText"/>
        <w:rPr>
          <w:lang w:val="et-EE"/>
        </w:rPr>
      </w:pPr>
      <w:r>
        <w:rPr>
          <w:rStyle w:val="FootnoteReference"/>
        </w:rPr>
        <w:footnoteRef/>
      </w:r>
      <w:r>
        <w:t xml:space="preserve"> </w:t>
      </w:r>
      <w:hyperlink r:id="rId1" w:history="1">
        <w:r w:rsidRPr="00191C0F">
          <w:rPr>
            <w:rStyle w:val="Hyperlink"/>
          </w:rPr>
          <w:t>[</w:t>
        </w:r>
        <w:proofErr w:type="spellStart"/>
        <w:r w:rsidRPr="00191C0F">
          <w:rPr>
            <w:rStyle w:val="Hyperlink"/>
          </w:rPr>
          <w:t>Elering</w:t>
        </w:r>
        <w:proofErr w:type="spellEnd"/>
        <w:r w:rsidRPr="00191C0F">
          <w:rPr>
            <w:rStyle w:val="Hyperlink"/>
          </w:rPr>
          <w:t xml:space="preserve"> website]</w:t>
        </w:r>
      </w:hyperlink>
      <w:r w:rsidRPr="00191C0F">
        <w:t xml:space="preserve">; </w:t>
      </w:r>
      <w:hyperlink r:id="rId2" w:history="1">
        <w:r w:rsidRPr="001F0A78">
          <w:rPr>
            <w:rStyle w:val="Hyperlink"/>
          </w:rPr>
          <w:fldChar w:fldCharType="begin">
            <w:fldData xml:space="preserve">ANDJ6nn5us4RjIIAqgBLqQsCAAAAAwAAAODJ6nn5us4RjIIAqgBLqQsEAQAAaAB0AHQAcABzADoA
LwAvAHcAdwB3AC4AYQBzAHQALgBsAHYALwBsAHYALwBlAHYAZQBuAHQAcwAvAGIAYQBsAHQAaQBq
AGEAcwAtAGIAYQBsAGEAbgBzAGUAcwBhAG4AYQBzAC0AcgBlAHoAZQByAHYAagB1AC0AagBhAHUA
ZABhAHMALQB0AGkAcgBnAHUAcwAtAGkAegBwAGUAdABlAHMALQBzAGEAYgBpAGUAZAByAGkAcwBr
AGEAcwAtAGEAcABzAHAAcgBpAGUAcwBhAG4AYQBzAC0AcgBlAHoAdQBsAHQAYQB0AGkAAAB5WIH0
Ox1/SK8sgl3EhSdjAAAAAKWrAAO=
</w:fldData>
          </w:fldChar>
        </w:r>
        <w:r w:rsidR="001F0A78" w:rsidRPr="001F0A78">
          <w:rPr>
            <w:rStyle w:val="Hyperlink"/>
          </w:rPr>
          <w:instrText>AST website</w:instrText>
        </w:r>
        <w:r w:rsidRPr="001F0A78">
          <w:rPr>
            <w:rStyle w:val="Hyperlink"/>
          </w:rPr>
        </w:r>
        <w:r w:rsidRPr="001F0A78">
          <w:rPr>
            <w:rStyle w:val="Hyperlink"/>
          </w:rPr>
          <w:fldChar w:fldCharType="separate"/>
        </w:r>
        <w:r w:rsidRPr="001F0A78">
          <w:rPr>
            <w:rStyle w:val="Hyperlink"/>
          </w:rPr>
          <w:t>[AST website]</w:t>
        </w:r>
        <w:r w:rsidRPr="001F0A78">
          <w:rPr>
            <w:rStyle w:val="Hyperlink"/>
          </w:rPr>
          <w:fldChar w:fldCharType="end"/>
        </w:r>
      </w:hyperlink>
      <w:r w:rsidRPr="00191C0F">
        <w:t xml:space="preserve">; </w:t>
      </w:r>
      <w:hyperlink r:id="rId3" w:history="1">
        <w:r w:rsidRPr="00191C0F">
          <w:rPr>
            <w:rStyle w:val="Hyperlink"/>
          </w:rPr>
          <w:t>[Litgrid website]</w:t>
        </w:r>
      </w:hyperlink>
    </w:p>
  </w:footnote>
  <w:footnote w:id="3">
    <w:p w14:paraId="7EBB01CE" w14:textId="0E59BDA4" w:rsidR="00C67BEE" w:rsidRDefault="1C468572" w:rsidP="00CB05AE">
      <w:r w:rsidRPr="1C468572">
        <w:rPr>
          <w:rStyle w:val="FootnoteReference"/>
        </w:rPr>
        <w:footnoteRef/>
      </w:r>
      <w:r>
        <w:t xml:space="preserve"> </w:t>
      </w:r>
      <w:hyperlink r:id="rId4" w:history="1">
        <w:r w:rsidR="00C67BEE" w:rsidRPr="00DD26D8">
          <w:rPr>
            <w:rStyle w:val="Hyperlink"/>
          </w:rPr>
          <w:t>[</w:t>
        </w:r>
        <w:proofErr w:type="spellStart"/>
        <w:r w:rsidR="00C67BEE" w:rsidRPr="00DD26D8">
          <w:rPr>
            <w:rStyle w:val="Hyperlink"/>
          </w:rPr>
          <w:t>Elering</w:t>
        </w:r>
        <w:proofErr w:type="spellEnd"/>
        <w:r w:rsidR="00C67BEE" w:rsidRPr="00DD26D8">
          <w:rPr>
            <w:rStyle w:val="Hyperlink"/>
          </w:rPr>
          <w:t xml:space="preserve"> website]</w:t>
        </w:r>
      </w:hyperlink>
      <w:r w:rsidR="00C67BEE">
        <w:t xml:space="preserve">; </w:t>
      </w:r>
      <w:hyperlink r:id="rId5" w:history="1">
        <w:r w:rsidR="00C67BEE" w:rsidRPr="00E05A7B">
          <w:rPr>
            <w:rStyle w:val="Hyperlink"/>
          </w:rPr>
          <w:t>[AST website]</w:t>
        </w:r>
      </w:hyperlink>
      <w:r w:rsidR="00C67BEE">
        <w:t xml:space="preserve">; </w:t>
      </w:r>
      <w:hyperlink r:id="rId6" w:history="1">
        <w:r w:rsidR="00C67BEE" w:rsidRPr="00462F70">
          <w:rPr>
            <w:rStyle w:val="Hyperlink"/>
          </w:rPr>
          <w:t>[Litgrid website]</w:t>
        </w:r>
      </w:hyperlink>
    </w:p>
    <w:p w14:paraId="64A65345" w14:textId="0D59B5E1" w:rsidR="1C468572" w:rsidRDefault="1C468572"/>
  </w:footnote>
  <w:footnote w:id="4">
    <w:p w14:paraId="5884B4F9" w14:textId="7789568D" w:rsidR="001C1785" w:rsidRPr="001C1785" w:rsidRDefault="001C1785">
      <w:pPr>
        <w:pStyle w:val="FootnoteText"/>
        <w:rPr>
          <w:lang w:val="en-US"/>
        </w:rPr>
      </w:pPr>
      <w:r>
        <w:rPr>
          <w:rStyle w:val="FootnoteReference"/>
        </w:rPr>
        <w:footnoteRef/>
      </w:r>
      <w:r>
        <w:t xml:space="preserve"> </w:t>
      </w:r>
      <w:r w:rsidR="00FC653C">
        <w:rPr>
          <w:lang w:val="en-US"/>
        </w:rPr>
        <w:t>[</w:t>
      </w:r>
      <w:proofErr w:type="spellStart"/>
      <w:r w:rsidR="00466FFD">
        <w:rPr>
          <w:lang w:val="en-US"/>
        </w:rPr>
        <w:fldChar w:fldCharType="begin"/>
      </w:r>
      <w:r w:rsidR="00466FFD">
        <w:rPr>
          <w:lang w:val="en-US"/>
        </w:rPr>
        <w:instrText>HYPERLINK "https://elering.ee/sites/default/files/2022-03/Harmonised%20principles%20for%20Baltic%20LFC%20reserve%20prequalification__updated_version.pdf"</w:instrText>
      </w:r>
      <w:r w:rsidR="00466FFD">
        <w:rPr>
          <w:lang w:val="en-US"/>
        </w:rPr>
      </w:r>
      <w:r w:rsidR="00466FFD">
        <w:rPr>
          <w:lang w:val="en-US"/>
        </w:rPr>
        <w:fldChar w:fldCharType="separate"/>
      </w:r>
      <w:r w:rsidR="00FC653C" w:rsidRPr="00466FFD">
        <w:rPr>
          <w:rStyle w:val="Hyperlink"/>
          <w:lang w:val="en-US"/>
        </w:rPr>
        <w:t>Elering</w:t>
      </w:r>
      <w:proofErr w:type="spellEnd"/>
      <w:r w:rsidR="00FC653C" w:rsidRPr="00466FFD">
        <w:rPr>
          <w:rStyle w:val="Hyperlink"/>
          <w:lang w:val="en-US"/>
        </w:rPr>
        <w:t xml:space="preserve"> website</w:t>
      </w:r>
      <w:r w:rsidR="00466FFD">
        <w:rPr>
          <w:lang w:val="en-US"/>
        </w:rPr>
        <w:fldChar w:fldCharType="end"/>
      </w:r>
      <w:r w:rsidR="00FC653C">
        <w:rPr>
          <w:lang w:val="en-US"/>
        </w:rPr>
        <w:t>]</w:t>
      </w:r>
      <w:r w:rsidR="00D12FED">
        <w:rPr>
          <w:lang w:val="en-US"/>
        </w:rPr>
        <w:t>;</w:t>
      </w:r>
      <w:r w:rsidR="00FC653C">
        <w:rPr>
          <w:lang w:val="en-US"/>
        </w:rPr>
        <w:t xml:space="preserve"> </w:t>
      </w:r>
      <w:r w:rsidR="0CF39642" w:rsidRPr="0CF39642">
        <w:rPr>
          <w:lang w:val="en-US"/>
        </w:rPr>
        <w:t>[</w:t>
      </w:r>
      <w:hyperlink r:id="rId7" w:history="1">
        <w:r w:rsidR="0CF39642" w:rsidRPr="0CF39642">
          <w:rPr>
            <w:rStyle w:val="Hyperlink"/>
            <w:lang w:val="en-US"/>
          </w:rPr>
          <w:t>AST website</w:t>
        </w:r>
      </w:hyperlink>
      <w:r w:rsidR="0CF39642" w:rsidRPr="0CF39642">
        <w:rPr>
          <w:lang w:val="en-US"/>
        </w:rPr>
        <w:t>];</w:t>
      </w:r>
      <w:r w:rsidR="00FC653C">
        <w:rPr>
          <w:lang w:val="en-US"/>
        </w:rPr>
        <w:t xml:space="preserve"> </w:t>
      </w:r>
      <w:hyperlink r:id="rId8" w:history="1">
        <w:r w:rsidR="00FC653C" w:rsidRPr="00D12FED">
          <w:rPr>
            <w:rStyle w:val="Hyperlink"/>
            <w:lang w:val="en-US"/>
          </w:rPr>
          <w:t>[Litgrid website]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6B6"/>
    <w:multiLevelType w:val="hybridMultilevel"/>
    <w:tmpl w:val="F8929B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EB2846"/>
    <w:multiLevelType w:val="multilevel"/>
    <w:tmpl w:val="1F661658"/>
    <w:lvl w:ilvl="0">
      <w:start w:val="1"/>
      <w:numFmt w:val="decimal"/>
      <w:pStyle w:val="headline1"/>
      <w:lvlText w:val="%1."/>
      <w:lvlJc w:val="left"/>
      <w:pPr>
        <w:tabs>
          <w:tab w:val="num" w:pos="360"/>
        </w:tabs>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4E2D71"/>
    <w:multiLevelType w:val="hybridMultilevel"/>
    <w:tmpl w:val="06B223E4"/>
    <w:lvl w:ilvl="0" w:tplc="3BB2A3FA">
      <w:start w:val="1"/>
      <w:numFmt w:val="bullet"/>
      <w:lvlText w:val=""/>
      <w:lvlJc w:val="left"/>
      <w:pPr>
        <w:ind w:left="720" w:hanging="360"/>
      </w:pPr>
      <w:rPr>
        <w:rFonts w:ascii="Symbol" w:hAnsi="Symbol" w:hint="default"/>
      </w:rPr>
    </w:lvl>
    <w:lvl w:ilvl="1" w:tplc="4642D4F0">
      <w:start w:val="1"/>
      <w:numFmt w:val="bullet"/>
      <w:lvlText w:val="o"/>
      <w:lvlJc w:val="left"/>
      <w:pPr>
        <w:ind w:left="1440" w:hanging="360"/>
      </w:pPr>
      <w:rPr>
        <w:rFonts w:ascii="Courier New" w:hAnsi="Courier New" w:hint="default"/>
      </w:rPr>
    </w:lvl>
    <w:lvl w:ilvl="2" w:tplc="B04E42E2">
      <w:start w:val="1"/>
      <w:numFmt w:val="bullet"/>
      <w:lvlText w:val=""/>
      <w:lvlJc w:val="left"/>
      <w:pPr>
        <w:ind w:left="2160" w:hanging="360"/>
      </w:pPr>
      <w:rPr>
        <w:rFonts w:ascii="Wingdings" w:hAnsi="Wingdings" w:hint="default"/>
      </w:rPr>
    </w:lvl>
    <w:lvl w:ilvl="3" w:tplc="39A858E8">
      <w:start w:val="1"/>
      <w:numFmt w:val="bullet"/>
      <w:lvlText w:val=""/>
      <w:lvlJc w:val="left"/>
      <w:pPr>
        <w:ind w:left="2880" w:hanging="360"/>
      </w:pPr>
      <w:rPr>
        <w:rFonts w:ascii="Symbol" w:hAnsi="Symbol" w:hint="default"/>
      </w:rPr>
    </w:lvl>
    <w:lvl w:ilvl="4" w:tplc="1C2C42A0">
      <w:start w:val="1"/>
      <w:numFmt w:val="bullet"/>
      <w:lvlText w:val="o"/>
      <w:lvlJc w:val="left"/>
      <w:pPr>
        <w:ind w:left="3600" w:hanging="360"/>
      </w:pPr>
      <w:rPr>
        <w:rFonts w:ascii="Courier New" w:hAnsi="Courier New" w:hint="default"/>
      </w:rPr>
    </w:lvl>
    <w:lvl w:ilvl="5" w:tplc="644E6F5A">
      <w:start w:val="1"/>
      <w:numFmt w:val="bullet"/>
      <w:lvlText w:val=""/>
      <w:lvlJc w:val="left"/>
      <w:pPr>
        <w:ind w:left="4320" w:hanging="360"/>
      </w:pPr>
      <w:rPr>
        <w:rFonts w:ascii="Wingdings" w:hAnsi="Wingdings" w:hint="default"/>
      </w:rPr>
    </w:lvl>
    <w:lvl w:ilvl="6" w:tplc="658E91D4">
      <w:start w:val="1"/>
      <w:numFmt w:val="bullet"/>
      <w:lvlText w:val=""/>
      <w:lvlJc w:val="left"/>
      <w:pPr>
        <w:ind w:left="5040" w:hanging="360"/>
      </w:pPr>
      <w:rPr>
        <w:rFonts w:ascii="Symbol" w:hAnsi="Symbol" w:hint="default"/>
      </w:rPr>
    </w:lvl>
    <w:lvl w:ilvl="7" w:tplc="19E27004">
      <w:start w:val="1"/>
      <w:numFmt w:val="bullet"/>
      <w:lvlText w:val="o"/>
      <w:lvlJc w:val="left"/>
      <w:pPr>
        <w:ind w:left="5760" w:hanging="360"/>
      </w:pPr>
      <w:rPr>
        <w:rFonts w:ascii="Courier New" w:hAnsi="Courier New" w:hint="default"/>
      </w:rPr>
    </w:lvl>
    <w:lvl w:ilvl="8" w:tplc="A22854AA">
      <w:start w:val="1"/>
      <w:numFmt w:val="bullet"/>
      <w:lvlText w:val=""/>
      <w:lvlJc w:val="left"/>
      <w:pPr>
        <w:ind w:left="6480" w:hanging="360"/>
      </w:pPr>
      <w:rPr>
        <w:rFonts w:ascii="Wingdings" w:hAnsi="Wingdings" w:hint="default"/>
      </w:rPr>
    </w:lvl>
  </w:abstractNum>
  <w:abstractNum w:abstractNumId="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7B66E9"/>
    <w:multiLevelType w:val="multilevel"/>
    <w:tmpl w:val="169CC5E8"/>
    <w:styleLink w:val="XXXtextbullets"/>
    <w:lvl w:ilvl="0">
      <w:start w:val="1"/>
      <w:numFmt w:val="bullet"/>
      <w:pStyle w:val="textbullets"/>
      <w:lvlText w:val="‒"/>
      <w:lvlJc w:val="left"/>
      <w:pPr>
        <w:ind w:left="397" w:hanging="397"/>
      </w:pPr>
      <w:rPr>
        <w:rFonts w:ascii="Calibri" w:hAnsi="Calibri" w:hint="default"/>
        <w:color w:val="auto"/>
      </w:rPr>
    </w:lvl>
    <w:lvl w:ilvl="1">
      <w:start w:val="1"/>
      <w:numFmt w:val="bullet"/>
      <w:lvlText w:val="‒"/>
      <w:lvlJc w:val="left"/>
      <w:pPr>
        <w:ind w:left="794" w:hanging="397"/>
      </w:pPr>
      <w:rPr>
        <w:rFonts w:ascii="Calibri" w:hAnsi="Calibri" w:hint="default"/>
        <w:color w:val="auto"/>
      </w:rPr>
    </w:lvl>
    <w:lvl w:ilvl="2">
      <w:start w:val="1"/>
      <w:numFmt w:val="bullet"/>
      <w:lvlText w:val="‒"/>
      <w:lvlJc w:val="left"/>
      <w:pPr>
        <w:ind w:left="1191" w:hanging="397"/>
      </w:pPr>
      <w:rPr>
        <w:rFonts w:ascii="Calibri" w:hAnsi="Calibri" w:hint="default"/>
        <w:color w:val="auto"/>
      </w:rPr>
    </w:lvl>
    <w:lvl w:ilvl="3">
      <w:start w:val="1"/>
      <w:numFmt w:val="bullet"/>
      <w:lvlText w:val="‒"/>
      <w:lvlJc w:val="left"/>
      <w:pPr>
        <w:ind w:left="1588" w:hanging="397"/>
      </w:pPr>
      <w:rPr>
        <w:rFonts w:ascii="Calibri" w:hAnsi="Calibri" w:hint="default"/>
        <w:color w:val="auto"/>
      </w:rPr>
    </w:lvl>
    <w:lvl w:ilvl="4">
      <w:start w:val="1"/>
      <w:numFmt w:val="bullet"/>
      <w:lvlText w:val="‒"/>
      <w:lvlJc w:val="left"/>
      <w:pPr>
        <w:ind w:left="1985" w:hanging="397"/>
      </w:pPr>
      <w:rPr>
        <w:rFonts w:ascii="Calibri" w:hAnsi="Calibri" w:hint="default"/>
        <w:color w:val="auto"/>
      </w:rPr>
    </w:lvl>
    <w:lvl w:ilvl="5">
      <w:start w:val="1"/>
      <w:numFmt w:val="bullet"/>
      <w:lvlText w:val="‒"/>
      <w:lvlJc w:val="left"/>
      <w:pPr>
        <w:ind w:left="2325" w:hanging="340"/>
      </w:pPr>
      <w:rPr>
        <w:rFonts w:ascii="Calibri" w:hAnsi="Calibri" w:hint="default"/>
        <w:color w:val="auto"/>
      </w:rPr>
    </w:lvl>
    <w:lvl w:ilvl="6">
      <w:start w:val="1"/>
      <w:numFmt w:val="bullet"/>
      <w:lvlText w:val="‒"/>
      <w:lvlJc w:val="left"/>
      <w:pPr>
        <w:ind w:left="2722" w:hanging="397"/>
      </w:pPr>
      <w:rPr>
        <w:rFonts w:ascii="Calibri" w:hAnsi="Calibri" w:hint="default"/>
        <w:color w:val="auto"/>
      </w:rPr>
    </w:lvl>
    <w:lvl w:ilvl="7">
      <w:start w:val="1"/>
      <w:numFmt w:val="bullet"/>
      <w:lvlText w:val="‒"/>
      <w:lvlJc w:val="left"/>
      <w:pPr>
        <w:ind w:left="3119" w:hanging="397"/>
      </w:pPr>
      <w:rPr>
        <w:rFonts w:ascii="Calibri" w:hAnsi="Calibri" w:hint="default"/>
        <w:color w:val="auto"/>
      </w:rPr>
    </w:lvl>
    <w:lvl w:ilvl="8">
      <w:start w:val="1"/>
      <w:numFmt w:val="bullet"/>
      <w:lvlText w:val="‒"/>
      <w:lvlJc w:val="left"/>
      <w:pPr>
        <w:ind w:left="3459" w:hanging="340"/>
      </w:pPr>
      <w:rPr>
        <w:rFonts w:ascii="Calibri" w:hAnsi="Calibri" w:hint="default"/>
        <w:color w:val="auto"/>
      </w:rPr>
    </w:lvl>
  </w:abstractNum>
  <w:abstractNum w:abstractNumId="5" w15:restartNumberingAfterBreak="0">
    <w:nsid w:val="3D41260C"/>
    <w:multiLevelType w:val="hybridMultilevel"/>
    <w:tmpl w:val="AD66A0A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E3B1E4D"/>
    <w:multiLevelType w:val="hybridMultilevel"/>
    <w:tmpl w:val="36C2FB00"/>
    <w:lvl w:ilvl="0" w:tplc="EE1C4064">
      <w:start w:val="1"/>
      <w:numFmt w:val="bullet"/>
      <w:lvlText w:val=""/>
      <w:lvlJc w:val="left"/>
      <w:pPr>
        <w:ind w:left="720" w:hanging="360"/>
      </w:pPr>
      <w:rPr>
        <w:rFonts w:ascii="Symbol" w:hAnsi="Symbol" w:hint="default"/>
      </w:rPr>
    </w:lvl>
    <w:lvl w:ilvl="1" w:tplc="AC108E2A">
      <w:start w:val="1"/>
      <w:numFmt w:val="bullet"/>
      <w:lvlText w:val="o"/>
      <w:lvlJc w:val="left"/>
      <w:pPr>
        <w:ind w:left="1440" w:hanging="360"/>
      </w:pPr>
      <w:rPr>
        <w:rFonts w:ascii="Courier New" w:hAnsi="Courier New" w:hint="default"/>
      </w:rPr>
    </w:lvl>
    <w:lvl w:ilvl="2" w:tplc="539AA816">
      <w:start w:val="1"/>
      <w:numFmt w:val="bullet"/>
      <w:lvlText w:val=""/>
      <w:lvlJc w:val="left"/>
      <w:pPr>
        <w:ind w:left="2160" w:hanging="360"/>
      </w:pPr>
      <w:rPr>
        <w:rFonts w:ascii="Wingdings" w:hAnsi="Wingdings" w:hint="default"/>
      </w:rPr>
    </w:lvl>
    <w:lvl w:ilvl="3" w:tplc="FB3A7A58">
      <w:start w:val="1"/>
      <w:numFmt w:val="bullet"/>
      <w:lvlText w:val=""/>
      <w:lvlJc w:val="left"/>
      <w:pPr>
        <w:ind w:left="2880" w:hanging="360"/>
      </w:pPr>
      <w:rPr>
        <w:rFonts w:ascii="Symbol" w:hAnsi="Symbol" w:hint="default"/>
      </w:rPr>
    </w:lvl>
    <w:lvl w:ilvl="4" w:tplc="15C209B8">
      <w:start w:val="1"/>
      <w:numFmt w:val="bullet"/>
      <w:lvlText w:val="o"/>
      <w:lvlJc w:val="left"/>
      <w:pPr>
        <w:ind w:left="3600" w:hanging="360"/>
      </w:pPr>
      <w:rPr>
        <w:rFonts w:ascii="Courier New" w:hAnsi="Courier New" w:hint="default"/>
      </w:rPr>
    </w:lvl>
    <w:lvl w:ilvl="5" w:tplc="216ED99E">
      <w:start w:val="1"/>
      <w:numFmt w:val="bullet"/>
      <w:lvlText w:val=""/>
      <w:lvlJc w:val="left"/>
      <w:pPr>
        <w:ind w:left="4320" w:hanging="360"/>
      </w:pPr>
      <w:rPr>
        <w:rFonts w:ascii="Wingdings" w:hAnsi="Wingdings" w:hint="default"/>
      </w:rPr>
    </w:lvl>
    <w:lvl w:ilvl="6" w:tplc="1A2C7D02">
      <w:start w:val="1"/>
      <w:numFmt w:val="bullet"/>
      <w:lvlText w:val=""/>
      <w:lvlJc w:val="left"/>
      <w:pPr>
        <w:ind w:left="5040" w:hanging="360"/>
      </w:pPr>
      <w:rPr>
        <w:rFonts w:ascii="Symbol" w:hAnsi="Symbol" w:hint="default"/>
      </w:rPr>
    </w:lvl>
    <w:lvl w:ilvl="7" w:tplc="2CFAC2AE">
      <w:start w:val="1"/>
      <w:numFmt w:val="bullet"/>
      <w:lvlText w:val="o"/>
      <w:lvlJc w:val="left"/>
      <w:pPr>
        <w:ind w:left="5760" w:hanging="360"/>
      </w:pPr>
      <w:rPr>
        <w:rFonts w:ascii="Courier New" w:hAnsi="Courier New" w:hint="default"/>
      </w:rPr>
    </w:lvl>
    <w:lvl w:ilvl="8" w:tplc="166ECDB6">
      <w:start w:val="1"/>
      <w:numFmt w:val="bullet"/>
      <w:lvlText w:val=""/>
      <w:lvlJc w:val="left"/>
      <w:pPr>
        <w:ind w:left="6480" w:hanging="360"/>
      </w:pPr>
      <w:rPr>
        <w:rFonts w:ascii="Wingdings" w:hAnsi="Wingdings" w:hint="default"/>
      </w:rPr>
    </w:lvl>
  </w:abstractNum>
  <w:abstractNum w:abstractNumId="7" w15:restartNumberingAfterBreak="0">
    <w:nsid w:val="4D5C78EE"/>
    <w:multiLevelType w:val="multilevel"/>
    <w:tmpl w:val="6714D5BC"/>
    <w:styleLink w:val="XXXNummerierung"/>
    <w:lvl w:ilvl="0">
      <w:start w:val="1"/>
      <w:numFmt w:val="decimal"/>
      <w:pStyle w:val="textenumeration"/>
      <w:lvlText w:val="%1."/>
      <w:lvlJc w:val="left"/>
      <w:pPr>
        <w:ind w:left="357" w:hanging="357"/>
      </w:pPr>
      <w:rPr>
        <w:rFonts w:ascii="Times New Roman" w:hAnsi="Times New Roman" w:hint="default"/>
        <w:sz w:val="2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5D4A3354"/>
    <w:multiLevelType w:val="multilevel"/>
    <w:tmpl w:val="080C001F"/>
    <w:styleLink w:val="XXXList"/>
    <w:lvl w:ilvl="0">
      <w:start w:val="1"/>
      <w:numFmt w:val="decimal"/>
      <w:lvlText w:val="%1."/>
      <w:lvlJc w:val="left"/>
      <w:pPr>
        <w:ind w:left="360" w:hanging="360"/>
      </w:pPr>
      <w:rPr>
        <w:rFonts w:hint="default"/>
        <w:b/>
        <w:i w:val="0"/>
        <w:color w:val="23236E" w:themeColor="text2"/>
        <w:sz w:val="28"/>
        <w:u w:color="23236E" w:themeColor="text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b/>
        <w:i w:val="0"/>
        <w:color w:val="23236E" w:themeColor="text2"/>
        <w:sz w:val="28"/>
        <w:u w:color="23236E" w:themeColor="text2"/>
      </w:rPr>
    </w:lvl>
  </w:abstractNum>
  <w:abstractNum w:abstractNumId="9" w15:restartNumberingAfterBreak="0">
    <w:nsid w:val="5EF63C7D"/>
    <w:multiLevelType w:val="multilevel"/>
    <w:tmpl w:val="F9A00892"/>
    <w:styleLink w:val="XXXBulletList"/>
    <w:lvl w:ilvl="0">
      <w:start w:val="1"/>
      <w:numFmt w:val="bullet"/>
      <w:pStyle w:val="decisionbullet1"/>
      <w:lvlText w:val="‒"/>
      <w:lvlJc w:val="left"/>
      <w:pPr>
        <w:ind w:left="357" w:hanging="357"/>
      </w:pPr>
      <w:rPr>
        <w:rFonts w:ascii="Calibri" w:hAnsi="Calibri" w:hint="default"/>
        <w:color w:val="auto"/>
        <w:sz w:val="22"/>
      </w:rPr>
    </w:lvl>
    <w:lvl w:ilvl="1">
      <w:start w:val="1"/>
      <w:numFmt w:val="bullet"/>
      <w:pStyle w:val="decisionbullet2"/>
      <w:lvlText w:val="‒"/>
      <w:lvlJc w:val="left"/>
      <w:pPr>
        <w:ind w:left="374" w:hanging="17"/>
      </w:pPr>
      <w:rPr>
        <w:rFonts w:ascii="Times New Roman" w:hAnsi="Times New Roman" w:cs="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7DF91973"/>
    <w:multiLevelType w:val="hybridMultilevel"/>
    <w:tmpl w:val="F8929B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519927198">
    <w:abstractNumId w:val="6"/>
  </w:num>
  <w:num w:numId="2" w16cid:durableId="1316059581">
    <w:abstractNumId w:val="2"/>
  </w:num>
  <w:num w:numId="3" w16cid:durableId="550075177">
    <w:abstractNumId w:val="8"/>
  </w:num>
  <w:num w:numId="4" w16cid:durableId="812647441">
    <w:abstractNumId w:val="9"/>
  </w:num>
  <w:num w:numId="5" w16cid:durableId="795680285">
    <w:abstractNumId w:val="7"/>
    <w:lvlOverride w:ilvl="0">
      <w:lvl w:ilvl="0">
        <w:start w:val="1"/>
        <w:numFmt w:val="decimal"/>
        <w:pStyle w:val="textenumeration"/>
        <w:lvlText w:val="%1."/>
        <w:lvlJc w:val="left"/>
        <w:pPr>
          <w:ind w:left="357" w:hanging="357"/>
        </w:pPr>
        <w:rPr>
          <w:rFonts w:ascii="Times New Roman" w:hAnsi="Times New Roman" w:hint="default"/>
          <w:sz w:val="22"/>
        </w:rPr>
      </w:lvl>
    </w:lvlOverride>
  </w:num>
  <w:num w:numId="6" w16cid:durableId="2098474839">
    <w:abstractNumId w:val="4"/>
  </w:num>
  <w:num w:numId="7" w16cid:durableId="1328707046">
    <w:abstractNumId w:val="3"/>
  </w:num>
  <w:num w:numId="8" w16cid:durableId="1544975572">
    <w:abstractNumId w:val="7"/>
  </w:num>
  <w:num w:numId="9" w16cid:durableId="711733960">
    <w:abstractNumId w:val="1"/>
  </w:num>
  <w:num w:numId="10" w16cid:durableId="1812549815">
    <w:abstractNumId w:val="1"/>
  </w:num>
  <w:num w:numId="11" w16cid:durableId="1344551870">
    <w:abstractNumId w:val="10"/>
  </w:num>
  <w:num w:numId="12" w16cid:durableId="551305907">
    <w:abstractNumId w:val="0"/>
  </w:num>
  <w:num w:numId="13" w16cid:durableId="812067219">
    <w:abstractNumId w:val="1"/>
  </w:num>
  <w:num w:numId="14" w16cid:durableId="65806253">
    <w:abstractNumId w:val="1"/>
  </w:num>
  <w:num w:numId="15" w16cid:durableId="8979759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0" w:nlCheck="1" w:checkStyle="0"/>
  <w:activeWritingStyle w:appName="MSWord" w:lang="en-US" w:vendorID="64" w:dllVersion="0" w:nlCheck="1" w:checkStyle="0"/>
  <w:proofState w:spelling="clean" w:grammar="clean"/>
  <w:attachedTemplate r:id="rId1"/>
  <w:doNotTrackFormatting/>
  <w:defaultTabStop w:val="708"/>
  <w:hyphenationZone w:val="425"/>
  <w:drawingGridHorizontalSpacing w:val="110"/>
  <w:displayHorizontalDrawingGridEvery w:val="2"/>
  <w:characterSpacingControl w:val="doNotCompress"/>
  <w:hdrShapeDefaults>
    <o:shapedefaults v:ext="edit" spidmax="2050" style="mso-position-horizontal-relative:page;mso-position-vertical-relative:page" strokecolor="none [3215]">
      <v:stroke color="none [3215]" weight="1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F07"/>
    <w:rsid w:val="0000014C"/>
    <w:rsid w:val="00000169"/>
    <w:rsid w:val="00000249"/>
    <w:rsid w:val="000003B9"/>
    <w:rsid w:val="00000470"/>
    <w:rsid w:val="000005BD"/>
    <w:rsid w:val="0000065C"/>
    <w:rsid w:val="0000079B"/>
    <w:rsid w:val="00000BBF"/>
    <w:rsid w:val="000011B0"/>
    <w:rsid w:val="00001F1F"/>
    <w:rsid w:val="00002150"/>
    <w:rsid w:val="000025AA"/>
    <w:rsid w:val="00002E5D"/>
    <w:rsid w:val="00004012"/>
    <w:rsid w:val="00005AC1"/>
    <w:rsid w:val="00005C79"/>
    <w:rsid w:val="00005CA4"/>
    <w:rsid w:val="0000641A"/>
    <w:rsid w:val="0000676B"/>
    <w:rsid w:val="00006873"/>
    <w:rsid w:val="00006E7B"/>
    <w:rsid w:val="00006EA2"/>
    <w:rsid w:val="0000753A"/>
    <w:rsid w:val="000077BD"/>
    <w:rsid w:val="000079ED"/>
    <w:rsid w:val="00007F12"/>
    <w:rsid w:val="00007F4F"/>
    <w:rsid w:val="00010408"/>
    <w:rsid w:val="00010CA1"/>
    <w:rsid w:val="00010E3C"/>
    <w:rsid w:val="000113AD"/>
    <w:rsid w:val="000118B0"/>
    <w:rsid w:val="00012460"/>
    <w:rsid w:val="00012663"/>
    <w:rsid w:val="00012816"/>
    <w:rsid w:val="00012A1C"/>
    <w:rsid w:val="00013241"/>
    <w:rsid w:val="000137EB"/>
    <w:rsid w:val="000140AC"/>
    <w:rsid w:val="000143E8"/>
    <w:rsid w:val="00014B20"/>
    <w:rsid w:val="00014F99"/>
    <w:rsid w:val="00015488"/>
    <w:rsid w:val="00016237"/>
    <w:rsid w:val="000173D6"/>
    <w:rsid w:val="000179C1"/>
    <w:rsid w:val="00017CCA"/>
    <w:rsid w:val="00020055"/>
    <w:rsid w:val="000203D4"/>
    <w:rsid w:val="00020428"/>
    <w:rsid w:val="000209E4"/>
    <w:rsid w:val="00020E4E"/>
    <w:rsid w:val="00021AC2"/>
    <w:rsid w:val="00022D11"/>
    <w:rsid w:val="00023455"/>
    <w:rsid w:val="000235E9"/>
    <w:rsid w:val="00023A5C"/>
    <w:rsid w:val="00023C94"/>
    <w:rsid w:val="00024957"/>
    <w:rsid w:val="000249FC"/>
    <w:rsid w:val="00024DFF"/>
    <w:rsid w:val="00025AC4"/>
    <w:rsid w:val="0002748C"/>
    <w:rsid w:val="00027B57"/>
    <w:rsid w:val="00027BF3"/>
    <w:rsid w:val="00027D0E"/>
    <w:rsid w:val="00027EBF"/>
    <w:rsid w:val="00030180"/>
    <w:rsid w:val="00030722"/>
    <w:rsid w:val="00031378"/>
    <w:rsid w:val="00032424"/>
    <w:rsid w:val="0003242A"/>
    <w:rsid w:val="000326F9"/>
    <w:rsid w:val="00033191"/>
    <w:rsid w:val="00033654"/>
    <w:rsid w:val="000336A7"/>
    <w:rsid w:val="0003392C"/>
    <w:rsid w:val="00033E6E"/>
    <w:rsid w:val="000345C2"/>
    <w:rsid w:val="000348AD"/>
    <w:rsid w:val="000348D8"/>
    <w:rsid w:val="000356C0"/>
    <w:rsid w:val="000357A0"/>
    <w:rsid w:val="00035A65"/>
    <w:rsid w:val="00035D1B"/>
    <w:rsid w:val="00035E73"/>
    <w:rsid w:val="00036305"/>
    <w:rsid w:val="00036F87"/>
    <w:rsid w:val="00037131"/>
    <w:rsid w:val="000372FC"/>
    <w:rsid w:val="000373DD"/>
    <w:rsid w:val="0004076A"/>
    <w:rsid w:val="00040901"/>
    <w:rsid w:val="00040916"/>
    <w:rsid w:val="00040C04"/>
    <w:rsid w:val="0004149C"/>
    <w:rsid w:val="00041D91"/>
    <w:rsid w:val="00041F54"/>
    <w:rsid w:val="00042114"/>
    <w:rsid w:val="00042115"/>
    <w:rsid w:val="000426A3"/>
    <w:rsid w:val="000429D4"/>
    <w:rsid w:val="00042D86"/>
    <w:rsid w:val="00043086"/>
    <w:rsid w:val="00043711"/>
    <w:rsid w:val="000445E6"/>
    <w:rsid w:val="00044996"/>
    <w:rsid w:val="00044A64"/>
    <w:rsid w:val="0004508E"/>
    <w:rsid w:val="000450FE"/>
    <w:rsid w:val="00045E03"/>
    <w:rsid w:val="00045E6E"/>
    <w:rsid w:val="00046D0D"/>
    <w:rsid w:val="00046F70"/>
    <w:rsid w:val="00046FC1"/>
    <w:rsid w:val="0004737A"/>
    <w:rsid w:val="000508B7"/>
    <w:rsid w:val="00050E22"/>
    <w:rsid w:val="000510CE"/>
    <w:rsid w:val="0005245F"/>
    <w:rsid w:val="00053056"/>
    <w:rsid w:val="00053D67"/>
    <w:rsid w:val="00054050"/>
    <w:rsid w:val="00054D89"/>
    <w:rsid w:val="000554FD"/>
    <w:rsid w:val="0005567D"/>
    <w:rsid w:val="0005584E"/>
    <w:rsid w:val="00055965"/>
    <w:rsid w:val="00055C89"/>
    <w:rsid w:val="00055EF9"/>
    <w:rsid w:val="000561DA"/>
    <w:rsid w:val="00056AC0"/>
    <w:rsid w:val="00057300"/>
    <w:rsid w:val="00060384"/>
    <w:rsid w:val="00060552"/>
    <w:rsid w:val="000605A0"/>
    <w:rsid w:val="000614E8"/>
    <w:rsid w:val="000617FA"/>
    <w:rsid w:val="00061F38"/>
    <w:rsid w:val="00061F71"/>
    <w:rsid w:val="000626F6"/>
    <w:rsid w:val="00062C84"/>
    <w:rsid w:val="00062E48"/>
    <w:rsid w:val="00063861"/>
    <w:rsid w:val="00063E5E"/>
    <w:rsid w:val="000640E2"/>
    <w:rsid w:val="00064551"/>
    <w:rsid w:val="0006467A"/>
    <w:rsid w:val="00064B7C"/>
    <w:rsid w:val="00064F0B"/>
    <w:rsid w:val="00065886"/>
    <w:rsid w:val="00065FDA"/>
    <w:rsid w:val="000663FD"/>
    <w:rsid w:val="00066712"/>
    <w:rsid w:val="000668BD"/>
    <w:rsid w:val="00066D48"/>
    <w:rsid w:val="000671DA"/>
    <w:rsid w:val="000675D9"/>
    <w:rsid w:val="0007001A"/>
    <w:rsid w:val="00071182"/>
    <w:rsid w:val="00071235"/>
    <w:rsid w:val="00071475"/>
    <w:rsid w:val="0007274E"/>
    <w:rsid w:val="000733A5"/>
    <w:rsid w:val="00073457"/>
    <w:rsid w:val="000735DF"/>
    <w:rsid w:val="00073A32"/>
    <w:rsid w:val="00073E61"/>
    <w:rsid w:val="00073F8D"/>
    <w:rsid w:val="0007445D"/>
    <w:rsid w:val="00074609"/>
    <w:rsid w:val="00074A19"/>
    <w:rsid w:val="00074AA7"/>
    <w:rsid w:val="00074ADD"/>
    <w:rsid w:val="000755C6"/>
    <w:rsid w:val="000763F9"/>
    <w:rsid w:val="00076649"/>
    <w:rsid w:val="00076B2D"/>
    <w:rsid w:val="00076E18"/>
    <w:rsid w:val="00077BB2"/>
    <w:rsid w:val="00077DCB"/>
    <w:rsid w:val="00077FAF"/>
    <w:rsid w:val="0008068E"/>
    <w:rsid w:val="00080DCB"/>
    <w:rsid w:val="000817C5"/>
    <w:rsid w:val="0008185F"/>
    <w:rsid w:val="0008215C"/>
    <w:rsid w:val="000823C3"/>
    <w:rsid w:val="0008266D"/>
    <w:rsid w:val="00082BB9"/>
    <w:rsid w:val="00083187"/>
    <w:rsid w:val="00083F22"/>
    <w:rsid w:val="00084347"/>
    <w:rsid w:val="00084461"/>
    <w:rsid w:val="00084A81"/>
    <w:rsid w:val="00084C58"/>
    <w:rsid w:val="00084CAC"/>
    <w:rsid w:val="00085196"/>
    <w:rsid w:val="00085222"/>
    <w:rsid w:val="00085B34"/>
    <w:rsid w:val="00085D3E"/>
    <w:rsid w:val="000869CC"/>
    <w:rsid w:val="00087518"/>
    <w:rsid w:val="000875F3"/>
    <w:rsid w:val="00087731"/>
    <w:rsid w:val="000877E3"/>
    <w:rsid w:val="000904BF"/>
    <w:rsid w:val="000920AE"/>
    <w:rsid w:val="00092518"/>
    <w:rsid w:val="00092C31"/>
    <w:rsid w:val="00092F86"/>
    <w:rsid w:val="00093484"/>
    <w:rsid w:val="00093636"/>
    <w:rsid w:val="0009375D"/>
    <w:rsid w:val="00093942"/>
    <w:rsid w:val="00094628"/>
    <w:rsid w:val="0009502C"/>
    <w:rsid w:val="000955D2"/>
    <w:rsid w:val="00095B21"/>
    <w:rsid w:val="00095B96"/>
    <w:rsid w:val="000961F8"/>
    <w:rsid w:val="00096787"/>
    <w:rsid w:val="00096798"/>
    <w:rsid w:val="00097225"/>
    <w:rsid w:val="00097E8E"/>
    <w:rsid w:val="000A0308"/>
    <w:rsid w:val="000A0598"/>
    <w:rsid w:val="000A0C53"/>
    <w:rsid w:val="000A11C8"/>
    <w:rsid w:val="000A1342"/>
    <w:rsid w:val="000A1D85"/>
    <w:rsid w:val="000A1DDA"/>
    <w:rsid w:val="000A2349"/>
    <w:rsid w:val="000A24EC"/>
    <w:rsid w:val="000A28B8"/>
    <w:rsid w:val="000A2C78"/>
    <w:rsid w:val="000A2DA1"/>
    <w:rsid w:val="000A312E"/>
    <w:rsid w:val="000A3A13"/>
    <w:rsid w:val="000A3D79"/>
    <w:rsid w:val="000A3FB8"/>
    <w:rsid w:val="000A403B"/>
    <w:rsid w:val="000A45F7"/>
    <w:rsid w:val="000A4AE3"/>
    <w:rsid w:val="000A4DEF"/>
    <w:rsid w:val="000A510F"/>
    <w:rsid w:val="000A5447"/>
    <w:rsid w:val="000A5765"/>
    <w:rsid w:val="000A5F9A"/>
    <w:rsid w:val="000A7038"/>
    <w:rsid w:val="000A7492"/>
    <w:rsid w:val="000A7B13"/>
    <w:rsid w:val="000A7B19"/>
    <w:rsid w:val="000A7F43"/>
    <w:rsid w:val="000B0939"/>
    <w:rsid w:val="000B0DB7"/>
    <w:rsid w:val="000B0FCC"/>
    <w:rsid w:val="000B183D"/>
    <w:rsid w:val="000B1EBF"/>
    <w:rsid w:val="000B2192"/>
    <w:rsid w:val="000B22A5"/>
    <w:rsid w:val="000B23F1"/>
    <w:rsid w:val="000B2D2E"/>
    <w:rsid w:val="000B3928"/>
    <w:rsid w:val="000B39D0"/>
    <w:rsid w:val="000B3D5F"/>
    <w:rsid w:val="000B5656"/>
    <w:rsid w:val="000B5660"/>
    <w:rsid w:val="000B57CB"/>
    <w:rsid w:val="000B5F21"/>
    <w:rsid w:val="000B661F"/>
    <w:rsid w:val="000B6BD7"/>
    <w:rsid w:val="000B7651"/>
    <w:rsid w:val="000B7A6B"/>
    <w:rsid w:val="000C02AA"/>
    <w:rsid w:val="000C081E"/>
    <w:rsid w:val="000C1044"/>
    <w:rsid w:val="000C1404"/>
    <w:rsid w:val="000C1901"/>
    <w:rsid w:val="000C1919"/>
    <w:rsid w:val="000C1BDF"/>
    <w:rsid w:val="000C1C30"/>
    <w:rsid w:val="000C20E8"/>
    <w:rsid w:val="000C2479"/>
    <w:rsid w:val="000C2574"/>
    <w:rsid w:val="000C282A"/>
    <w:rsid w:val="000C2D0C"/>
    <w:rsid w:val="000C334A"/>
    <w:rsid w:val="000C3A4F"/>
    <w:rsid w:val="000C3EBA"/>
    <w:rsid w:val="000C4633"/>
    <w:rsid w:val="000C4642"/>
    <w:rsid w:val="000C4C45"/>
    <w:rsid w:val="000C4F3F"/>
    <w:rsid w:val="000C50C7"/>
    <w:rsid w:val="000C5232"/>
    <w:rsid w:val="000C5F27"/>
    <w:rsid w:val="000C5F91"/>
    <w:rsid w:val="000C6465"/>
    <w:rsid w:val="000C64C8"/>
    <w:rsid w:val="000C6AA5"/>
    <w:rsid w:val="000C7103"/>
    <w:rsid w:val="000C763D"/>
    <w:rsid w:val="000C7734"/>
    <w:rsid w:val="000C777B"/>
    <w:rsid w:val="000C7929"/>
    <w:rsid w:val="000C7C91"/>
    <w:rsid w:val="000D0641"/>
    <w:rsid w:val="000D0688"/>
    <w:rsid w:val="000D0842"/>
    <w:rsid w:val="000D12FA"/>
    <w:rsid w:val="000D19EE"/>
    <w:rsid w:val="000D1A83"/>
    <w:rsid w:val="000D1DC7"/>
    <w:rsid w:val="000D2097"/>
    <w:rsid w:val="000D233C"/>
    <w:rsid w:val="000D2604"/>
    <w:rsid w:val="000D2F5E"/>
    <w:rsid w:val="000D31A4"/>
    <w:rsid w:val="000D360E"/>
    <w:rsid w:val="000D3D5F"/>
    <w:rsid w:val="000D3FAF"/>
    <w:rsid w:val="000D4815"/>
    <w:rsid w:val="000D49E4"/>
    <w:rsid w:val="000D4E03"/>
    <w:rsid w:val="000D51A4"/>
    <w:rsid w:val="000D5782"/>
    <w:rsid w:val="000D59BD"/>
    <w:rsid w:val="000D5C38"/>
    <w:rsid w:val="000D5D4B"/>
    <w:rsid w:val="000D651C"/>
    <w:rsid w:val="000D6C2E"/>
    <w:rsid w:val="000D6C9D"/>
    <w:rsid w:val="000D6CF2"/>
    <w:rsid w:val="000D6DDD"/>
    <w:rsid w:val="000D79BE"/>
    <w:rsid w:val="000D79DA"/>
    <w:rsid w:val="000D7A78"/>
    <w:rsid w:val="000D7AA3"/>
    <w:rsid w:val="000D7F78"/>
    <w:rsid w:val="000E0126"/>
    <w:rsid w:val="000E0208"/>
    <w:rsid w:val="000E04B1"/>
    <w:rsid w:val="000E062D"/>
    <w:rsid w:val="000E0873"/>
    <w:rsid w:val="000E09D2"/>
    <w:rsid w:val="000E0C86"/>
    <w:rsid w:val="000E17BE"/>
    <w:rsid w:val="000E1BB6"/>
    <w:rsid w:val="000E1DB4"/>
    <w:rsid w:val="000E218B"/>
    <w:rsid w:val="000E2649"/>
    <w:rsid w:val="000E268A"/>
    <w:rsid w:val="000E32FA"/>
    <w:rsid w:val="000E39DF"/>
    <w:rsid w:val="000E41B2"/>
    <w:rsid w:val="000E4CD5"/>
    <w:rsid w:val="000E4FAA"/>
    <w:rsid w:val="000E5BBA"/>
    <w:rsid w:val="000E5E19"/>
    <w:rsid w:val="000E60EC"/>
    <w:rsid w:val="000E642E"/>
    <w:rsid w:val="000E65E2"/>
    <w:rsid w:val="000E699C"/>
    <w:rsid w:val="000E7214"/>
    <w:rsid w:val="000E773E"/>
    <w:rsid w:val="000E7FE6"/>
    <w:rsid w:val="000F0261"/>
    <w:rsid w:val="000F0300"/>
    <w:rsid w:val="000F0523"/>
    <w:rsid w:val="000F105D"/>
    <w:rsid w:val="000F1582"/>
    <w:rsid w:val="000F1606"/>
    <w:rsid w:val="000F1D46"/>
    <w:rsid w:val="000F1F21"/>
    <w:rsid w:val="000F21D6"/>
    <w:rsid w:val="000F22C4"/>
    <w:rsid w:val="000F2416"/>
    <w:rsid w:val="000F2853"/>
    <w:rsid w:val="000F29A7"/>
    <w:rsid w:val="000F2DFC"/>
    <w:rsid w:val="000F2FF4"/>
    <w:rsid w:val="000F3D7D"/>
    <w:rsid w:val="000F415F"/>
    <w:rsid w:val="000F4211"/>
    <w:rsid w:val="000F4510"/>
    <w:rsid w:val="000F45F8"/>
    <w:rsid w:val="000F51E7"/>
    <w:rsid w:val="000F5791"/>
    <w:rsid w:val="000F5893"/>
    <w:rsid w:val="000F58DB"/>
    <w:rsid w:val="000F627D"/>
    <w:rsid w:val="000F6344"/>
    <w:rsid w:val="000F648E"/>
    <w:rsid w:val="000F693C"/>
    <w:rsid w:val="000F6D74"/>
    <w:rsid w:val="000F6F31"/>
    <w:rsid w:val="000F7BCD"/>
    <w:rsid w:val="0010020C"/>
    <w:rsid w:val="0010092F"/>
    <w:rsid w:val="00100994"/>
    <w:rsid w:val="00100B68"/>
    <w:rsid w:val="00101028"/>
    <w:rsid w:val="001015EF"/>
    <w:rsid w:val="00101814"/>
    <w:rsid w:val="00101983"/>
    <w:rsid w:val="00101AB3"/>
    <w:rsid w:val="00101BFB"/>
    <w:rsid w:val="00102832"/>
    <w:rsid w:val="00102A02"/>
    <w:rsid w:val="00102BB0"/>
    <w:rsid w:val="00102C27"/>
    <w:rsid w:val="00102CF4"/>
    <w:rsid w:val="00103B9A"/>
    <w:rsid w:val="00103EF3"/>
    <w:rsid w:val="00104938"/>
    <w:rsid w:val="00104C2A"/>
    <w:rsid w:val="00104FF6"/>
    <w:rsid w:val="0010511E"/>
    <w:rsid w:val="001057EE"/>
    <w:rsid w:val="001059B1"/>
    <w:rsid w:val="00105DC5"/>
    <w:rsid w:val="00105DEA"/>
    <w:rsid w:val="00107537"/>
    <w:rsid w:val="0010762F"/>
    <w:rsid w:val="0010781E"/>
    <w:rsid w:val="00107A15"/>
    <w:rsid w:val="001102B7"/>
    <w:rsid w:val="00110443"/>
    <w:rsid w:val="00110F82"/>
    <w:rsid w:val="001114C6"/>
    <w:rsid w:val="0011150A"/>
    <w:rsid w:val="00112014"/>
    <w:rsid w:val="001124B6"/>
    <w:rsid w:val="00112580"/>
    <w:rsid w:val="0011332D"/>
    <w:rsid w:val="00113412"/>
    <w:rsid w:val="00113784"/>
    <w:rsid w:val="0011419C"/>
    <w:rsid w:val="001143DD"/>
    <w:rsid w:val="00114EF0"/>
    <w:rsid w:val="00114F54"/>
    <w:rsid w:val="00116270"/>
    <w:rsid w:val="00116328"/>
    <w:rsid w:val="001163AF"/>
    <w:rsid w:val="00116C9B"/>
    <w:rsid w:val="001170AF"/>
    <w:rsid w:val="00117986"/>
    <w:rsid w:val="001179DB"/>
    <w:rsid w:val="00117E39"/>
    <w:rsid w:val="00120464"/>
    <w:rsid w:val="001206D1"/>
    <w:rsid w:val="00120D44"/>
    <w:rsid w:val="00121023"/>
    <w:rsid w:val="001210AD"/>
    <w:rsid w:val="001211DA"/>
    <w:rsid w:val="00121263"/>
    <w:rsid w:val="0012187B"/>
    <w:rsid w:val="00121DA6"/>
    <w:rsid w:val="00122000"/>
    <w:rsid w:val="001220EC"/>
    <w:rsid w:val="00122170"/>
    <w:rsid w:val="00122334"/>
    <w:rsid w:val="00122521"/>
    <w:rsid w:val="001227E8"/>
    <w:rsid w:val="001228B6"/>
    <w:rsid w:val="00122ACF"/>
    <w:rsid w:val="00122F33"/>
    <w:rsid w:val="0012394C"/>
    <w:rsid w:val="00123E24"/>
    <w:rsid w:val="0012442A"/>
    <w:rsid w:val="001246DB"/>
    <w:rsid w:val="00124A47"/>
    <w:rsid w:val="00124E0F"/>
    <w:rsid w:val="00125271"/>
    <w:rsid w:val="00125519"/>
    <w:rsid w:val="00125737"/>
    <w:rsid w:val="00130263"/>
    <w:rsid w:val="0013129D"/>
    <w:rsid w:val="00131436"/>
    <w:rsid w:val="00132699"/>
    <w:rsid w:val="001326EF"/>
    <w:rsid w:val="00132C92"/>
    <w:rsid w:val="00132F7B"/>
    <w:rsid w:val="00133E8A"/>
    <w:rsid w:val="00134330"/>
    <w:rsid w:val="00134722"/>
    <w:rsid w:val="0013488A"/>
    <w:rsid w:val="00134BE3"/>
    <w:rsid w:val="00135071"/>
    <w:rsid w:val="0013638E"/>
    <w:rsid w:val="001406D8"/>
    <w:rsid w:val="00140797"/>
    <w:rsid w:val="001407F3"/>
    <w:rsid w:val="00140820"/>
    <w:rsid w:val="00140E27"/>
    <w:rsid w:val="0014196D"/>
    <w:rsid w:val="00142539"/>
    <w:rsid w:val="0014258F"/>
    <w:rsid w:val="001427A8"/>
    <w:rsid w:val="00142AFF"/>
    <w:rsid w:val="00143C0D"/>
    <w:rsid w:val="00143C39"/>
    <w:rsid w:val="00143FCF"/>
    <w:rsid w:val="001447F5"/>
    <w:rsid w:val="001449A5"/>
    <w:rsid w:val="00144E6B"/>
    <w:rsid w:val="00145079"/>
    <w:rsid w:val="001451FC"/>
    <w:rsid w:val="00145801"/>
    <w:rsid w:val="00145968"/>
    <w:rsid w:val="00145F78"/>
    <w:rsid w:val="00146434"/>
    <w:rsid w:val="00146542"/>
    <w:rsid w:val="0014697D"/>
    <w:rsid w:val="00146A17"/>
    <w:rsid w:val="00146FFC"/>
    <w:rsid w:val="001479A1"/>
    <w:rsid w:val="001500AB"/>
    <w:rsid w:val="00150168"/>
    <w:rsid w:val="001507E1"/>
    <w:rsid w:val="00150857"/>
    <w:rsid w:val="00150FCC"/>
    <w:rsid w:val="00151284"/>
    <w:rsid w:val="001512E2"/>
    <w:rsid w:val="001515F9"/>
    <w:rsid w:val="00151B4A"/>
    <w:rsid w:val="00151C89"/>
    <w:rsid w:val="00151D7B"/>
    <w:rsid w:val="001528FE"/>
    <w:rsid w:val="00152CAE"/>
    <w:rsid w:val="00153A57"/>
    <w:rsid w:val="001540CD"/>
    <w:rsid w:val="001551AF"/>
    <w:rsid w:val="0015530C"/>
    <w:rsid w:val="00155443"/>
    <w:rsid w:val="00155C22"/>
    <w:rsid w:val="00155E2A"/>
    <w:rsid w:val="00155F93"/>
    <w:rsid w:val="001560AE"/>
    <w:rsid w:val="00156976"/>
    <w:rsid w:val="00157368"/>
    <w:rsid w:val="00157A86"/>
    <w:rsid w:val="00157C04"/>
    <w:rsid w:val="0016018A"/>
    <w:rsid w:val="0016087D"/>
    <w:rsid w:val="001608DF"/>
    <w:rsid w:val="0016090A"/>
    <w:rsid w:val="0016127D"/>
    <w:rsid w:val="00161AD5"/>
    <w:rsid w:val="00161CD5"/>
    <w:rsid w:val="00162B67"/>
    <w:rsid w:val="00162B68"/>
    <w:rsid w:val="001631A4"/>
    <w:rsid w:val="00163B5A"/>
    <w:rsid w:val="00164918"/>
    <w:rsid w:val="00165BDB"/>
    <w:rsid w:val="00165C5B"/>
    <w:rsid w:val="00165EB8"/>
    <w:rsid w:val="00165FD7"/>
    <w:rsid w:val="00165FDE"/>
    <w:rsid w:val="001660A5"/>
    <w:rsid w:val="00166888"/>
    <w:rsid w:val="00166EE6"/>
    <w:rsid w:val="00167372"/>
    <w:rsid w:val="001675C6"/>
    <w:rsid w:val="00167B33"/>
    <w:rsid w:val="00167C50"/>
    <w:rsid w:val="00170027"/>
    <w:rsid w:val="00170673"/>
    <w:rsid w:val="00170D5E"/>
    <w:rsid w:val="00170F1D"/>
    <w:rsid w:val="00171246"/>
    <w:rsid w:val="00171B73"/>
    <w:rsid w:val="00171D2D"/>
    <w:rsid w:val="001721EF"/>
    <w:rsid w:val="00172587"/>
    <w:rsid w:val="00173110"/>
    <w:rsid w:val="001735E0"/>
    <w:rsid w:val="00173757"/>
    <w:rsid w:val="00174666"/>
    <w:rsid w:val="001752F7"/>
    <w:rsid w:val="00175575"/>
    <w:rsid w:val="001758CE"/>
    <w:rsid w:val="00175BD0"/>
    <w:rsid w:val="00175CC3"/>
    <w:rsid w:val="00176348"/>
    <w:rsid w:val="001771F2"/>
    <w:rsid w:val="00177549"/>
    <w:rsid w:val="0017763A"/>
    <w:rsid w:val="001779B1"/>
    <w:rsid w:val="0018052C"/>
    <w:rsid w:val="0018065A"/>
    <w:rsid w:val="001808C5"/>
    <w:rsid w:val="00180BA2"/>
    <w:rsid w:val="00180D40"/>
    <w:rsid w:val="0018178A"/>
    <w:rsid w:val="00181EA0"/>
    <w:rsid w:val="00181F9B"/>
    <w:rsid w:val="001820A9"/>
    <w:rsid w:val="001823E1"/>
    <w:rsid w:val="0018242A"/>
    <w:rsid w:val="001827D8"/>
    <w:rsid w:val="0018322B"/>
    <w:rsid w:val="00183AA9"/>
    <w:rsid w:val="00184CED"/>
    <w:rsid w:val="001853A1"/>
    <w:rsid w:val="001853C7"/>
    <w:rsid w:val="0018540A"/>
    <w:rsid w:val="001856CE"/>
    <w:rsid w:val="00185A01"/>
    <w:rsid w:val="00185BE5"/>
    <w:rsid w:val="0018601C"/>
    <w:rsid w:val="00186689"/>
    <w:rsid w:val="00186BD1"/>
    <w:rsid w:val="00186C7D"/>
    <w:rsid w:val="00186FE0"/>
    <w:rsid w:val="00187146"/>
    <w:rsid w:val="0018757E"/>
    <w:rsid w:val="0018777D"/>
    <w:rsid w:val="00187F27"/>
    <w:rsid w:val="00187FD8"/>
    <w:rsid w:val="0019136E"/>
    <w:rsid w:val="001919A3"/>
    <w:rsid w:val="00191C0F"/>
    <w:rsid w:val="00191FE0"/>
    <w:rsid w:val="0019291E"/>
    <w:rsid w:val="00192E33"/>
    <w:rsid w:val="001933F9"/>
    <w:rsid w:val="00193449"/>
    <w:rsid w:val="00194012"/>
    <w:rsid w:val="00194054"/>
    <w:rsid w:val="0019437A"/>
    <w:rsid w:val="00194D05"/>
    <w:rsid w:val="0019573B"/>
    <w:rsid w:val="0019582C"/>
    <w:rsid w:val="001958BA"/>
    <w:rsid w:val="00195E35"/>
    <w:rsid w:val="00195F3E"/>
    <w:rsid w:val="00196528"/>
    <w:rsid w:val="00197519"/>
    <w:rsid w:val="00197B54"/>
    <w:rsid w:val="00197B69"/>
    <w:rsid w:val="00197BEB"/>
    <w:rsid w:val="00197F68"/>
    <w:rsid w:val="001A01DE"/>
    <w:rsid w:val="001A09A3"/>
    <w:rsid w:val="001A0A9B"/>
    <w:rsid w:val="001A0C74"/>
    <w:rsid w:val="001A126A"/>
    <w:rsid w:val="001A1787"/>
    <w:rsid w:val="001A1989"/>
    <w:rsid w:val="001A1BB5"/>
    <w:rsid w:val="001A1DD4"/>
    <w:rsid w:val="001A1FAB"/>
    <w:rsid w:val="001A1FE2"/>
    <w:rsid w:val="001A2155"/>
    <w:rsid w:val="001A2330"/>
    <w:rsid w:val="001A2B6A"/>
    <w:rsid w:val="001A2C09"/>
    <w:rsid w:val="001A32A6"/>
    <w:rsid w:val="001A33DE"/>
    <w:rsid w:val="001A3E71"/>
    <w:rsid w:val="001A3FF2"/>
    <w:rsid w:val="001A40BB"/>
    <w:rsid w:val="001A40C5"/>
    <w:rsid w:val="001A443E"/>
    <w:rsid w:val="001A44A2"/>
    <w:rsid w:val="001A467E"/>
    <w:rsid w:val="001A46E3"/>
    <w:rsid w:val="001A4AA2"/>
    <w:rsid w:val="001A51C2"/>
    <w:rsid w:val="001A551C"/>
    <w:rsid w:val="001A55A2"/>
    <w:rsid w:val="001A566E"/>
    <w:rsid w:val="001A59B5"/>
    <w:rsid w:val="001A5CB6"/>
    <w:rsid w:val="001A6211"/>
    <w:rsid w:val="001A6492"/>
    <w:rsid w:val="001A6582"/>
    <w:rsid w:val="001A6ED0"/>
    <w:rsid w:val="001A736A"/>
    <w:rsid w:val="001A7556"/>
    <w:rsid w:val="001A7587"/>
    <w:rsid w:val="001A76C5"/>
    <w:rsid w:val="001A7D9E"/>
    <w:rsid w:val="001A7F64"/>
    <w:rsid w:val="001B0120"/>
    <w:rsid w:val="001B077B"/>
    <w:rsid w:val="001B0AAA"/>
    <w:rsid w:val="001B0D15"/>
    <w:rsid w:val="001B0DAA"/>
    <w:rsid w:val="001B127B"/>
    <w:rsid w:val="001B144D"/>
    <w:rsid w:val="001B1D50"/>
    <w:rsid w:val="001B1F19"/>
    <w:rsid w:val="001B21B9"/>
    <w:rsid w:val="001B26FC"/>
    <w:rsid w:val="001B2761"/>
    <w:rsid w:val="001B288C"/>
    <w:rsid w:val="001B2A3E"/>
    <w:rsid w:val="001B2A84"/>
    <w:rsid w:val="001B2C21"/>
    <w:rsid w:val="001B2CA8"/>
    <w:rsid w:val="001B2EB0"/>
    <w:rsid w:val="001B3326"/>
    <w:rsid w:val="001B35ED"/>
    <w:rsid w:val="001B37E4"/>
    <w:rsid w:val="001B3A9B"/>
    <w:rsid w:val="001B47FD"/>
    <w:rsid w:val="001B4C4A"/>
    <w:rsid w:val="001B4F2D"/>
    <w:rsid w:val="001B55BA"/>
    <w:rsid w:val="001B57E7"/>
    <w:rsid w:val="001B5E44"/>
    <w:rsid w:val="001B62C0"/>
    <w:rsid w:val="001B646F"/>
    <w:rsid w:val="001B701F"/>
    <w:rsid w:val="001B7C05"/>
    <w:rsid w:val="001C02BD"/>
    <w:rsid w:val="001C064F"/>
    <w:rsid w:val="001C09F1"/>
    <w:rsid w:val="001C106F"/>
    <w:rsid w:val="001C14E1"/>
    <w:rsid w:val="001C1785"/>
    <w:rsid w:val="001C179B"/>
    <w:rsid w:val="001C1DF6"/>
    <w:rsid w:val="001C2056"/>
    <w:rsid w:val="001C2224"/>
    <w:rsid w:val="001C22D4"/>
    <w:rsid w:val="001C238F"/>
    <w:rsid w:val="001C2435"/>
    <w:rsid w:val="001C268D"/>
    <w:rsid w:val="001C2ED2"/>
    <w:rsid w:val="001C35A4"/>
    <w:rsid w:val="001C3B1B"/>
    <w:rsid w:val="001C3DE7"/>
    <w:rsid w:val="001C4169"/>
    <w:rsid w:val="001C4B07"/>
    <w:rsid w:val="001C4F9F"/>
    <w:rsid w:val="001C4FDA"/>
    <w:rsid w:val="001C556D"/>
    <w:rsid w:val="001C560B"/>
    <w:rsid w:val="001C677A"/>
    <w:rsid w:val="001C6DC7"/>
    <w:rsid w:val="001C6E08"/>
    <w:rsid w:val="001C7159"/>
    <w:rsid w:val="001C71CB"/>
    <w:rsid w:val="001C72A5"/>
    <w:rsid w:val="001C72E0"/>
    <w:rsid w:val="001C785C"/>
    <w:rsid w:val="001D03F1"/>
    <w:rsid w:val="001D050E"/>
    <w:rsid w:val="001D0606"/>
    <w:rsid w:val="001D06E3"/>
    <w:rsid w:val="001D13EA"/>
    <w:rsid w:val="001D1512"/>
    <w:rsid w:val="001D178A"/>
    <w:rsid w:val="001D1845"/>
    <w:rsid w:val="001D1B82"/>
    <w:rsid w:val="001D1E28"/>
    <w:rsid w:val="001D1FD6"/>
    <w:rsid w:val="001D2E63"/>
    <w:rsid w:val="001D3438"/>
    <w:rsid w:val="001D3D7D"/>
    <w:rsid w:val="001D42AD"/>
    <w:rsid w:val="001D46C2"/>
    <w:rsid w:val="001D4846"/>
    <w:rsid w:val="001D5029"/>
    <w:rsid w:val="001D5544"/>
    <w:rsid w:val="001D56D4"/>
    <w:rsid w:val="001D56FE"/>
    <w:rsid w:val="001D5AA2"/>
    <w:rsid w:val="001D5B46"/>
    <w:rsid w:val="001D5CA2"/>
    <w:rsid w:val="001D637E"/>
    <w:rsid w:val="001D6561"/>
    <w:rsid w:val="001D713B"/>
    <w:rsid w:val="001D71D4"/>
    <w:rsid w:val="001D7ACE"/>
    <w:rsid w:val="001D7F25"/>
    <w:rsid w:val="001E07F1"/>
    <w:rsid w:val="001E0AAC"/>
    <w:rsid w:val="001E0CE1"/>
    <w:rsid w:val="001E0D37"/>
    <w:rsid w:val="001E151B"/>
    <w:rsid w:val="001E169D"/>
    <w:rsid w:val="001E18AD"/>
    <w:rsid w:val="001E1DBC"/>
    <w:rsid w:val="001E203C"/>
    <w:rsid w:val="001E26F4"/>
    <w:rsid w:val="001E2E2D"/>
    <w:rsid w:val="001E3ABE"/>
    <w:rsid w:val="001E3DFD"/>
    <w:rsid w:val="001E3E0B"/>
    <w:rsid w:val="001E41A3"/>
    <w:rsid w:val="001E4286"/>
    <w:rsid w:val="001E4710"/>
    <w:rsid w:val="001E4B75"/>
    <w:rsid w:val="001E4F1D"/>
    <w:rsid w:val="001E550B"/>
    <w:rsid w:val="001E55C0"/>
    <w:rsid w:val="001E5F7C"/>
    <w:rsid w:val="001E6652"/>
    <w:rsid w:val="001E6868"/>
    <w:rsid w:val="001E6BEF"/>
    <w:rsid w:val="001E78C0"/>
    <w:rsid w:val="001F098D"/>
    <w:rsid w:val="001F09FA"/>
    <w:rsid w:val="001F0A78"/>
    <w:rsid w:val="001F0A9C"/>
    <w:rsid w:val="001F0B88"/>
    <w:rsid w:val="001F0F42"/>
    <w:rsid w:val="001F13A6"/>
    <w:rsid w:val="001F2044"/>
    <w:rsid w:val="001F20C5"/>
    <w:rsid w:val="001F28B9"/>
    <w:rsid w:val="001F35B2"/>
    <w:rsid w:val="001F36A1"/>
    <w:rsid w:val="001F524C"/>
    <w:rsid w:val="001F5365"/>
    <w:rsid w:val="001F5CD8"/>
    <w:rsid w:val="001F5DBD"/>
    <w:rsid w:val="001F6394"/>
    <w:rsid w:val="001F6499"/>
    <w:rsid w:val="001F6557"/>
    <w:rsid w:val="001F6977"/>
    <w:rsid w:val="001F6B16"/>
    <w:rsid w:val="001F6B36"/>
    <w:rsid w:val="001F6C9C"/>
    <w:rsid w:val="001F6D8C"/>
    <w:rsid w:val="001F734A"/>
    <w:rsid w:val="001F7553"/>
    <w:rsid w:val="001F7791"/>
    <w:rsid w:val="001F79E4"/>
    <w:rsid w:val="001F7D72"/>
    <w:rsid w:val="001F7DA6"/>
    <w:rsid w:val="002006EC"/>
    <w:rsid w:val="00200B16"/>
    <w:rsid w:val="00200D44"/>
    <w:rsid w:val="00201345"/>
    <w:rsid w:val="00201CAD"/>
    <w:rsid w:val="002021B1"/>
    <w:rsid w:val="00202413"/>
    <w:rsid w:val="00202BED"/>
    <w:rsid w:val="00202C7F"/>
    <w:rsid w:val="00202FDA"/>
    <w:rsid w:val="0020337B"/>
    <w:rsid w:val="0020344F"/>
    <w:rsid w:val="002041D3"/>
    <w:rsid w:val="00204595"/>
    <w:rsid w:val="002045AF"/>
    <w:rsid w:val="00204643"/>
    <w:rsid w:val="00204CA9"/>
    <w:rsid w:val="00205810"/>
    <w:rsid w:val="00205B43"/>
    <w:rsid w:val="00206B26"/>
    <w:rsid w:val="0020703F"/>
    <w:rsid w:val="002106B3"/>
    <w:rsid w:val="002107F1"/>
    <w:rsid w:val="002109A6"/>
    <w:rsid w:val="00210ACA"/>
    <w:rsid w:val="00210F80"/>
    <w:rsid w:val="002114A1"/>
    <w:rsid w:val="00211914"/>
    <w:rsid w:val="00211D7E"/>
    <w:rsid w:val="00212104"/>
    <w:rsid w:val="00213197"/>
    <w:rsid w:val="00213225"/>
    <w:rsid w:val="00213365"/>
    <w:rsid w:val="002133B0"/>
    <w:rsid w:val="00213C9E"/>
    <w:rsid w:val="0021443F"/>
    <w:rsid w:val="002144C0"/>
    <w:rsid w:val="00214558"/>
    <w:rsid w:val="002151AC"/>
    <w:rsid w:val="0021591E"/>
    <w:rsid w:val="002159C2"/>
    <w:rsid w:val="00215A03"/>
    <w:rsid w:val="0021602B"/>
    <w:rsid w:val="00216130"/>
    <w:rsid w:val="002161A7"/>
    <w:rsid w:val="00216235"/>
    <w:rsid w:val="00216EE9"/>
    <w:rsid w:val="00217B68"/>
    <w:rsid w:val="00220197"/>
    <w:rsid w:val="002204E4"/>
    <w:rsid w:val="0022084B"/>
    <w:rsid w:val="00220937"/>
    <w:rsid w:val="002213F0"/>
    <w:rsid w:val="002215F2"/>
    <w:rsid w:val="00221684"/>
    <w:rsid w:val="002219D8"/>
    <w:rsid w:val="00221A91"/>
    <w:rsid w:val="00221FC8"/>
    <w:rsid w:val="00222591"/>
    <w:rsid w:val="002230ED"/>
    <w:rsid w:val="0022345C"/>
    <w:rsid w:val="00223F13"/>
    <w:rsid w:val="00224118"/>
    <w:rsid w:val="0022428D"/>
    <w:rsid w:val="002244A1"/>
    <w:rsid w:val="002246AC"/>
    <w:rsid w:val="00224DDA"/>
    <w:rsid w:val="00225B58"/>
    <w:rsid w:val="002260C4"/>
    <w:rsid w:val="0022628E"/>
    <w:rsid w:val="0022641A"/>
    <w:rsid w:val="002269CB"/>
    <w:rsid w:val="00226B1C"/>
    <w:rsid w:val="00226C4A"/>
    <w:rsid w:val="00226E6E"/>
    <w:rsid w:val="002270E3"/>
    <w:rsid w:val="002271DE"/>
    <w:rsid w:val="002274E4"/>
    <w:rsid w:val="002275CF"/>
    <w:rsid w:val="00230943"/>
    <w:rsid w:val="0023120A"/>
    <w:rsid w:val="00231653"/>
    <w:rsid w:val="00231CA6"/>
    <w:rsid w:val="00231D37"/>
    <w:rsid w:val="00231E82"/>
    <w:rsid w:val="00231F6C"/>
    <w:rsid w:val="0023204E"/>
    <w:rsid w:val="00232574"/>
    <w:rsid w:val="002325FF"/>
    <w:rsid w:val="002332FB"/>
    <w:rsid w:val="002338DC"/>
    <w:rsid w:val="00233A72"/>
    <w:rsid w:val="00233B74"/>
    <w:rsid w:val="002340F5"/>
    <w:rsid w:val="00234D70"/>
    <w:rsid w:val="0023551F"/>
    <w:rsid w:val="00235C70"/>
    <w:rsid w:val="00235F3F"/>
    <w:rsid w:val="00236329"/>
    <w:rsid w:val="00236DA7"/>
    <w:rsid w:val="00237725"/>
    <w:rsid w:val="00237F76"/>
    <w:rsid w:val="002404FA"/>
    <w:rsid w:val="00240795"/>
    <w:rsid w:val="00240A5F"/>
    <w:rsid w:val="00240BFC"/>
    <w:rsid w:val="00240F01"/>
    <w:rsid w:val="0024169C"/>
    <w:rsid w:val="00241CEE"/>
    <w:rsid w:val="00241D71"/>
    <w:rsid w:val="00242159"/>
    <w:rsid w:val="002421D5"/>
    <w:rsid w:val="0024239E"/>
    <w:rsid w:val="002423DE"/>
    <w:rsid w:val="002426AC"/>
    <w:rsid w:val="002435E5"/>
    <w:rsid w:val="002436FB"/>
    <w:rsid w:val="0024418B"/>
    <w:rsid w:val="00244559"/>
    <w:rsid w:val="00245268"/>
    <w:rsid w:val="0024559F"/>
    <w:rsid w:val="00245B41"/>
    <w:rsid w:val="00245C53"/>
    <w:rsid w:val="00246321"/>
    <w:rsid w:val="00246498"/>
    <w:rsid w:val="00246888"/>
    <w:rsid w:val="00247449"/>
    <w:rsid w:val="00247A28"/>
    <w:rsid w:val="00250379"/>
    <w:rsid w:val="00250439"/>
    <w:rsid w:val="00250ACE"/>
    <w:rsid w:val="00250EAD"/>
    <w:rsid w:val="00251BF2"/>
    <w:rsid w:val="00251EBB"/>
    <w:rsid w:val="002522CF"/>
    <w:rsid w:val="002525EF"/>
    <w:rsid w:val="002526F8"/>
    <w:rsid w:val="00252CF4"/>
    <w:rsid w:val="00253221"/>
    <w:rsid w:val="002535B2"/>
    <w:rsid w:val="00253C2F"/>
    <w:rsid w:val="00253D22"/>
    <w:rsid w:val="00253E1E"/>
    <w:rsid w:val="002549B0"/>
    <w:rsid w:val="0025508C"/>
    <w:rsid w:val="00255204"/>
    <w:rsid w:val="002554C2"/>
    <w:rsid w:val="00255581"/>
    <w:rsid w:val="00255697"/>
    <w:rsid w:val="002557C4"/>
    <w:rsid w:val="002560BC"/>
    <w:rsid w:val="00257211"/>
    <w:rsid w:val="00257EA9"/>
    <w:rsid w:val="00260084"/>
    <w:rsid w:val="00260D6E"/>
    <w:rsid w:val="00261914"/>
    <w:rsid w:val="002619D3"/>
    <w:rsid w:val="002624B9"/>
    <w:rsid w:val="002628DE"/>
    <w:rsid w:val="00262A30"/>
    <w:rsid w:val="00262F84"/>
    <w:rsid w:val="0026400E"/>
    <w:rsid w:val="002644D2"/>
    <w:rsid w:val="00264993"/>
    <w:rsid w:val="00266360"/>
    <w:rsid w:val="00266F44"/>
    <w:rsid w:val="00267675"/>
    <w:rsid w:val="00267834"/>
    <w:rsid w:val="00267EAD"/>
    <w:rsid w:val="00267FB2"/>
    <w:rsid w:val="002704D4"/>
    <w:rsid w:val="0027088B"/>
    <w:rsid w:val="00270A6E"/>
    <w:rsid w:val="00270A9A"/>
    <w:rsid w:val="002713FA"/>
    <w:rsid w:val="00271A59"/>
    <w:rsid w:val="00271CCC"/>
    <w:rsid w:val="00271DC5"/>
    <w:rsid w:val="002726BC"/>
    <w:rsid w:val="002726D5"/>
    <w:rsid w:val="00272A2F"/>
    <w:rsid w:val="002730F0"/>
    <w:rsid w:val="0027314A"/>
    <w:rsid w:val="002731F2"/>
    <w:rsid w:val="00273A76"/>
    <w:rsid w:val="00273C43"/>
    <w:rsid w:val="002748F5"/>
    <w:rsid w:val="0027521B"/>
    <w:rsid w:val="002752A9"/>
    <w:rsid w:val="0027578E"/>
    <w:rsid w:val="002759B9"/>
    <w:rsid w:val="00275B12"/>
    <w:rsid w:val="00275D38"/>
    <w:rsid w:val="00276184"/>
    <w:rsid w:val="00276493"/>
    <w:rsid w:val="00276570"/>
    <w:rsid w:val="0027659F"/>
    <w:rsid w:val="002766B2"/>
    <w:rsid w:val="00276715"/>
    <w:rsid w:val="00276783"/>
    <w:rsid w:val="00276796"/>
    <w:rsid w:val="0027722B"/>
    <w:rsid w:val="00277A85"/>
    <w:rsid w:val="00277CB5"/>
    <w:rsid w:val="00277F1E"/>
    <w:rsid w:val="00280367"/>
    <w:rsid w:val="00280618"/>
    <w:rsid w:val="002811AE"/>
    <w:rsid w:val="00281EB9"/>
    <w:rsid w:val="00282281"/>
    <w:rsid w:val="00282842"/>
    <w:rsid w:val="002838E8"/>
    <w:rsid w:val="00283D1A"/>
    <w:rsid w:val="002843B9"/>
    <w:rsid w:val="0028470E"/>
    <w:rsid w:val="00285114"/>
    <w:rsid w:val="00285609"/>
    <w:rsid w:val="00285B00"/>
    <w:rsid w:val="0028652D"/>
    <w:rsid w:val="00286E94"/>
    <w:rsid w:val="002872B3"/>
    <w:rsid w:val="00290620"/>
    <w:rsid w:val="002924C3"/>
    <w:rsid w:val="002934D5"/>
    <w:rsid w:val="00293B4A"/>
    <w:rsid w:val="00293F8C"/>
    <w:rsid w:val="00294740"/>
    <w:rsid w:val="00294AD7"/>
    <w:rsid w:val="00294C1D"/>
    <w:rsid w:val="00294F1F"/>
    <w:rsid w:val="002951FF"/>
    <w:rsid w:val="00295216"/>
    <w:rsid w:val="002954A7"/>
    <w:rsid w:val="002955F2"/>
    <w:rsid w:val="00295AA0"/>
    <w:rsid w:val="002960E6"/>
    <w:rsid w:val="002964F8"/>
    <w:rsid w:val="00296C02"/>
    <w:rsid w:val="00296D01"/>
    <w:rsid w:val="00296EEC"/>
    <w:rsid w:val="00297212"/>
    <w:rsid w:val="0029737D"/>
    <w:rsid w:val="002973AD"/>
    <w:rsid w:val="0029779B"/>
    <w:rsid w:val="002A032A"/>
    <w:rsid w:val="002A0365"/>
    <w:rsid w:val="002A1799"/>
    <w:rsid w:val="002A1E0C"/>
    <w:rsid w:val="002A1FC2"/>
    <w:rsid w:val="002A21EF"/>
    <w:rsid w:val="002A24B3"/>
    <w:rsid w:val="002A2871"/>
    <w:rsid w:val="002A28E6"/>
    <w:rsid w:val="002A291E"/>
    <w:rsid w:val="002A2A69"/>
    <w:rsid w:val="002A39C3"/>
    <w:rsid w:val="002A3DC6"/>
    <w:rsid w:val="002A3E99"/>
    <w:rsid w:val="002A4542"/>
    <w:rsid w:val="002A4598"/>
    <w:rsid w:val="002A4A9B"/>
    <w:rsid w:val="002A5228"/>
    <w:rsid w:val="002A5603"/>
    <w:rsid w:val="002A560C"/>
    <w:rsid w:val="002A59DA"/>
    <w:rsid w:val="002A6065"/>
    <w:rsid w:val="002A6270"/>
    <w:rsid w:val="002A6736"/>
    <w:rsid w:val="002A6859"/>
    <w:rsid w:val="002A7432"/>
    <w:rsid w:val="002A7551"/>
    <w:rsid w:val="002A7776"/>
    <w:rsid w:val="002A7EA8"/>
    <w:rsid w:val="002B032F"/>
    <w:rsid w:val="002B05BE"/>
    <w:rsid w:val="002B0C92"/>
    <w:rsid w:val="002B14B8"/>
    <w:rsid w:val="002B1CE5"/>
    <w:rsid w:val="002B1E87"/>
    <w:rsid w:val="002B24CE"/>
    <w:rsid w:val="002B2718"/>
    <w:rsid w:val="002B2A81"/>
    <w:rsid w:val="002B2CB8"/>
    <w:rsid w:val="002B3B73"/>
    <w:rsid w:val="002B3BBF"/>
    <w:rsid w:val="002B3BC9"/>
    <w:rsid w:val="002B4179"/>
    <w:rsid w:val="002B41A1"/>
    <w:rsid w:val="002B4BF6"/>
    <w:rsid w:val="002B4DBF"/>
    <w:rsid w:val="002B57F6"/>
    <w:rsid w:val="002B5A88"/>
    <w:rsid w:val="002B5B2D"/>
    <w:rsid w:val="002B675C"/>
    <w:rsid w:val="002B6C76"/>
    <w:rsid w:val="002B6E94"/>
    <w:rsid w:val="002C004A"/>
    <w:rsid w:val="002C00E4"/>
    <w:rsid w:val="002C0142"/>
    <w:rsid w:val="002C01CE"/>
    <w:rsid w:val="002C0DD8"/>
    <w:rsid w:val="002C1314"/>
    <w:rsid w:val="002C1671"/>
    <w:rsid w:val="002C1A15"/>
    <w:rsid w:val="002C2C31"/>
    <w:rsid w:val="002C30F6"/>
    <w:rsid w:val="002C3462"/>
    <w:rsid w:val="002C354B"/>
    <w:rsid w:val="002C3D5B"/>
    <w:rsid w:val="002C47FE"/>
    <w:rsid w:val="002C4953"/>
    <w:rsid w:val="002C4DC9"/>
    <w:rsid w:val="002C52CC"/>
    <w:rsid w:val="002C535F"/>
    <w:rsid w:val="002C54AF"/>
    <w:rsid w:val="002C56C7"/>
    <w:rsid w:val="002C575B"/>
    <w:rsid w:val="002C5797"/>
    <w:rsid w:val="002C58A2"/>
    <w:rsid w:val="002C5F0B"/>
    <w:rsid w:val="002C5FBB"/>
    <w:rsid w:val="002C61CB"/>
    <w:rsid w:val="002C6370"/>
    <w:rsid w:val="002C6386"/>
    <w:rsid w:val="002C64DA"/>
    <w:rsid w:val="002C7880"/>
    <w:rsid w:val="002C79C1"/>
    <w:rsid w:val="002C7EE3"/>
    <w:rsid w:val="002D012E"/>
    <w:rsid w:val="002D0372"/>
    <w:rsid w:val="002D0CAB"/>
    <w:rsid w:val="002D0D89"/>
    <w:rsid w:val="002D16A1"/>
    <w:rsid w:val="002D1A22"/>
    <w:rsid w:val="002D2A1B"/>
    <w:rsid w:val="002D322B"/>
    <w:rsid w:val="002D35D1"/>
    <w:rsid w:val="002D3A08"/>
    <w:rsid w:val="002D3C85"/>
    <w:rsid w:val="002D3ECF"/>
    <w:rsid w:val="002D47C5"/>
    <w:rsid w:val="002D4D48"/>
    <w:rsid w:val="002D53F1"/>
    <w:rsid w:val="002D57F4"/>
    <w:rsid w:val="002D6963"/>
    <w:rsid w:val="002D6AE2"/>
    <w:rsid w:val="002D6AFF"/>
    <w:rsid w:val="002D6CF9"/>
    <w:rsid w:val="002D732B"/>
    <w:rsid w:val="002D7409"/>
    <w:rsid w:val="002D75E6"/>
    <w:rsid w:val="002D7945"/>
    <w:rsid w:val="002D7A5D"/>
    <w:rsid w:val="002E0B37"/>
    <w:rsid w:val="002E10A0"/>
    <w:rsid w:val="002E10E6"/>
    <w:rsid w:val="002E1684"/>
    <w:rsid w:val="002E16AB"/>
    <w:rsid w:val="002E189E"/>
    <w:rsid w:val="002E1B61"/>
    <w:rsid w:val="002E2385"/>
    <w:rsid w:val="002E2A8C"/>
    <w:rsid w:val="002E358F"/>
    <w:rsid w:val="002E470A"/>
    <w:rsid w:val="002E4F8E"/>
    <w:rsid w:val="002E537D"/>
    <w:rsid w:val="002E5864"/>
    <w:rsid w:val="002E5AFB"/>
    <w:rsid w:val="002E5CE0"/>
    <w:rsid w:val="002E5D33"/>
    <w:rsid w:val="002E6013"/>
    <w:rsid w:val="002E642C"/>
    <w:rsid w:val="002E707A"/>
    <w:rsid w:val="002E70DB"/>
    <w:rsid w:val="002F06FB"/>
    <w:rsid w:val="002F07C7"/>
    <w:rsid w:val="002F084B"/>
    <w:rsid w:val="002F0E47"/>
    <w:rsid w:val="002F1CB4"/>
    <w:rsid w:val="002F2FD6"/>
    <w:rsid w:val="002F325C"/>
    <w:rsid w:val="002F3569"/>
    <w:rsid w:val="002F35C6"/>
    <w:rsid w:val="002F3CEC"/>
    <w:rsid w:val="002F3E3B"/>
    <w:rsid w:val="002F403D"/>
    <w:rsid w:val="002F4117"/>
    <w:rsid w:val="002F50C0"/>
    <w:rsid w:val="002F51A4"/>
    <w:rsid w:val="002F51FD"/>
    <w:rsid w:val="002F52E6"/>
    <w:rsid w:val="002F5AB9"/>
    <w:rsid w:val="002F5EFD"/>
    <w:rsid w:val="002F5F91"/>
    <w:rsid w:val="002F664C"/>
    <w:rsid w:val="002F6B92"/>
    <w:rsid w:val="002F6F02"/>
    <w:rsid w:val="002F72DD"/>
    <w:rsid w:val="002F7427"/>
    <w:rsid w:val="002F76B3"/>
    <w:rsid w:val="002F7A22"/>
    <w:rsid w:val="003000B2"/>
    <w:rsid w:val="00300B22"/>
    <w:rsid w:val="00300C37"/>
    <w:rsid w:val="003021B0"/>
    <w:rsid w:val="0030235A"/>
    <w:rsid w:val="00302436"/>
    <w:rsid w:val="003024C9"/>
    <w:rsid w:val="00302513"/>
    <w:rsid w:val="00302EBE"/>
    <w:rsid w:val="0030356C"/>
    <w:rsid w:val="0030366B"/>
    <w:rsid w:val="0030379C"/>
    <w:rsid w:val="003037F3"/>
    <w:rsid w:val="00303938"/>
    <w:rsid w:val="003046A8"/>
    <w:rsid w:val="0030482D"/>
    <w:rsid w:val="003048BF"/>
    <w:rsid w:val="00305598"/>
    <w:rsid w:val="00306076"/>
    <w:rsid w:val="003061C3"/>
    <w:rsid w:val="00306302"/>
    <w:rsid w:val="00306BB5"/>
    <w:rsid w:val="00306DBC"/>
    <w:rsid w:val="00307B20"/>
    <w:rsid w:val="00307C30"/>
    <w:rsid w:val="00307C43"/>
    <w:rsid w:val="003101F3"/>
    <w:rsid w:val="003102C9"/>
    <w:rsid w:val="00310DC3"/>
    <w:rsid w:val="00312018"/>
    <w:rsid w:val="003128FE"/>
    <w:rsid w:val="00312961"/>
    <w:rsid w:val="00312ABB"/>
    <w:rsid w:val="003130C8"/>
    <w:rsid w:val="0031342E"/>
    <w:rsid w:val="003137AD"/>
    <w:rsid w:val="003137D5"/>
    <w:rsid w:val="00313F14"/>
    <w:rsid w:val="00313FDF"/>
    <w:rsid w:val="003140AF"/>
    <w:rsid w:val="00314CC1"/>
    <w:rsid w:val="00314CCD"/>
    <w:rsid w:val="00315222"/>
    <w:rsid w:val="00315436"/>
    <w:rsid w:val="003156F2"/>
    <w:rsid w:val="00315853"/>
    <w:rsid w:val="0031598D"/>
    <w:rsid w:val="003164E8"/>
    <w:rsid w:val="003165C1"/>
    <w:rsid w:val="0031773D"/>
    <w:rsid w:val="00317831"/>
    <w:rsid w:val="00317F8A"/>
    <w:rsid w:val="0032132C"/>
    <w:rsid w:val="00321683"/>
    <w:rsid w:val="0032180B"/>
    <w:rsid w:val="00321CA9"/>
    <w:rsid w:val="0032277C"/>
    <w:rsid w:val="0032306E"/>
    <w:rsid w:val="00323539"/>
    <w:rsid w:val="00323886"/>
    <w:rsid w:val="00323D0E"/>
    <w:rsid w:val="00323DF2"/>
    <w:rsid w:val="00324221"/>
    <w:rsid w:val="00324FDA"/>
    <w:rsid w:val="00325452"/>
    <w:rsid w:val="00325577"/>
    <w:rsid w:val="00325A01"/>
    <w:rsid w:val="00325ADE"/>
    <w:rsid w:val="0032618D"/>
    <w:rsid w:val="0032652F"/>
    <w:rsid w:val="00326D5F"/>
    <w:rsid w:val="00327044"/>
    <w:rsid w:val="003274A2"/>
    <w:rsid w:val="0032775A"/>
    <w:rsid w:val="00327C8E"/>
    <w:rsid w:val="0033012D"/>
    <w:rsid w:val="00330B78"/>
    <w:rsid w:val="00331048"/>
    <w:rsid w:val="00331400"/>
    <w:rsid w:val="003314D0"/>
    <w:rsid w:val="00331997"/>
    <w:rsid w:val="00331DA0"/>
    <w:rsid w:val="0033286F"/>
    <w:rsid w:val="00332D29"/>
    <w:rsid w:val="00333CEF"/>
    <w:rsid w:val="00335710"/>
    <w:rsid w:val="0033589F"/>
    <w:rsid w:val="00335E71"/>
    <w:rsid w:val="003362B7"/>
    <w:rsid w:val="003369E9"/>
    <w:rsid w:val="00336BDA"/>
    <w:rsid w:val="00336C99"/>
    <w:rsid w:val="00336D13"/>
    <w:rsid w:val="00337C8F"/>
    <w:rsid w:val="00337FDE"/>
    <w:rsid w:val="0034068B"/>
    <w:rsid w:val="00340B8C"/>
    <w:rsid w:val="00340EA7"/>
    <w:rsid w:val="00341DF5"/>
    <w:rsid w:val="00341E20"/>
    <w:rsid w:val="00341F19"/>
    <w:rsid w:val="00342644"/>
    <w:rsid w:val="003427BE"/>
    <w:rsid w:val="00342A09"/>
    <w:rsid w:val="00342A7E"/>
    <w:rsid w:val="00342C73"/>
    <w:rsid w:val="00342F42"/>
    <w:rsid w:val="00343A22"/>
    <w:rsid w:val="00343C4C"/>
    <w:rsid w:val="00343DAF"/>
    <w:rsid w:val="00344367"/>
    <w:rsid w:val="00344423"/>
    <w:rsid w:val="00344697"/>
    <w:rsid w:val="00344AD2"/>
    <w:rsid w:val="00344FE0"/>
    <w:rsid w:val="00345215"/>
    <w:rsid w:val="00345787"/>
    <w:rsid w:val="00345F7E"/>
    <w:rsid w:val="00346207"/>
    <w:rsid w:val="00346719"/>
    <w:rsid w:val="00347A4D"/>
    <w:rsid w:val="00350666"/>
    <w:rsid w:val="00350A68"/>
    <w:rsid w:val="00350B7D"/>
    <w:rsid w:val="00350BD1"/>
    <w:rsid w:val="00350FE2"/>
    <w:rsid w:val="003512CB"/>
    <w:rsid w:val="003523FD"/>
    <w:rsid w:val="00352F2A"/>
    <w:rsid w:val="00353037"/>
    <w:rsid w:val="00353100"/>
    <w:rsid w:val="00353392"/>
    <w:rsid w:val="00353B72"/>
    <w:rsid w:val="003540D2"/>
    <w:rsid w:val="00354421"/>
    <w:rsid w:val="00355608"/>
    <w:rsid w:val="003557C1"/>
    <w:rsid w:val="00355CD3"/>
    <w:rsid w:val="00356595"/>
    <w:rsid w:val="00356658"/>
    <w:rsid w:val="00356D38"/>
    <w:rsid w:val="0035703A"/>
    <w:rsid w:val="003572A0"/>
    <w:rsid w:val="00357A7E"/>
    <w:rsid w:val="00357F90"/>
    <w:rsid w:val="00360D60"/>
    <w:rsid w:val="00361291"/>
    <w:rsid w:val="00361935"/>
    <w:rsid w:val="00361E78"/>
    <w:rsid w:val="003620B7"/>
    <w:rsid w:val="003630A6"/>
    <w:rsid w:val="0036324B"/>
    <w:rsid w:val="003633CF"/>
    <w:rsid w:val="003636D0"/>
    <w:rsid w:val="0036419E"/>
    <w:rsid w:val="00364A6C"/>
    <w:rsid w:val="00364AEB"/>
    <w:rsid w:val="00364B8B"/>
    <w:rsid w:val="00364FF5"/>
    <w:rsid w:val="0036537E"/>
    <w:rsid w:val="00365A71"/>
    <w:rsid w:val="00365C79"/>
    <w:rsid w:val="00366215"/>
    <w:rsid w:val="003662AB"/>
    <w:rsid w:val="00366372"/>
    <w:rsid w:val="0036649B"/>
    <w:rsid w:val="00366792"/>
    <w:rsid w:val="00366852"/>
    <w:rsid w:val="00366AF9"/>
    <w:rsid w:val="003674B4"/>
    <w:rsid w:val="00367938"/>
    <w:rsid w:val="00367E0A"/>
    <w:rsid w:val="00370583"/>
    <w:rsid w:val="0037079F"/>
    <w:rsid w:val="00370ACD"/>
    <w:rsid w:val="00370CA3"/>
    <w:rsid w:val="0037165E"/>
    <w:rsid w:val="00372205"/>
    <w:rsid w:val="003725C2"/>
    <w:rsid w:val="0037294A"/>
    <w:rsid w:val="003729D6"/>
    <w:rsid w:val="00372A89"/>
    <w:rsid w:val="0037308F"/>
    <w:rsid w:val="00373168"/>
    <w:rsid w:val="003736D6"/>
    <w:rsid w:val="003737BD"/>
    <w:rsid w:val="00373892"/>
    <w:rsid w:val="00373ABB"/>
    <w:rsid w:val="00373E92"/>
    <w:rsid w:val="00374B20"/>
    <w:rsid w:val="003752A5"/>
    <w:rsid w:val="0037589B"/>
    <w:rsid w:val="00375973"/>
    <w:rsid w:val="003759E0"/>
    <w:rsid w:val="00375DCD"/>
    <w:rsid w:val="003765C1"/>
    <w:rsid w:val="00376606"/>
    <w:rsid w:val="003769BA"/>
    <w:rsid w:val="00376C35"/>
    <w:rsid w:val="00377482"/>
    <w:rsid w:val="00377B9E"/>
    <w:rsid w:val="00380111"/>
    <w:rsid w:val="00380737"/>
    <w:rsid w:val="00380DFC"/>
    <w:rsid w:val="003811C7"/>
    <w:rsid w:val="00381346"/>
    <w:rsid w:val="0038164D"/>
    <w:rsid w:val="00381E66"/>
    <w:rsid w:val="00382253"/>
    <w:rsid w:val="00382676"/>
    <w:rsid w:val="00382893"/>
    <w:rsid w:val="003832F2"/>
    <w:rsid w:val="00383876"/>
    <w:rsid w:val="00383F69"/>
    <w:rsid w:val="00383FAF"/>
    <w:rsid w:val="003846A0"/>
    <w:rsid w:val="00384749"/>
    <w:rsid w:val="00385354"/>
    <w:rsid w:val="00385B42"/>
    <w:rsid w:val="00385BB9"/>
    <w:rsid w:val="0038669D"/>
    <w:rsid w:val="00387A66"/>
    <w:rsid w:val="0039014E"/>
    <w:rsid w:val="003902DE"/>
    <w:rsid w:val="00390A85"/>
    <w:rsid w:val="00390D3A"/>
    <w:rsid w:val="00390DE4"/>
    <w:rsid w:val="00391071"/>
    <w:rsid w:val="003911EE"/>
    <w:rsid w:val="00391A34"/>
    <w:rsid w:val="00391F9A"/>
    <w:rsid w:val="00392436"/>
    <w:rsid w:val="003926E2"/>
    <w:rsid w:val="003929D9"/>
    <w:rsid w:val="00392E34"/>
    <w:rsid w:val="00392F24"/>
    <w:rsid w:val="00393238"/>
    <w:rsid w:val="0039407F"/>
    <w:rsid w:val="003943C7"/>
    <w:rsid w:val="00394575"/>
    <w:rsid w:val="003946C4"/>
    <w:rsid w:val="00394AF2"/>
    <w:rsid w:val="00394C59"/>
    <w:rsid w:val="00394EB4"/>
    <w:rsid w:val="0039570E"/>
    <w:rsid w:val="00395E09"/>
    <w:rsid w:val="00395E4D"/>
    <w:rsid w:val="0039608F"/>
    <w:rsid w:val="00396160"/>
    <w:rsid w:val="00396569"/>
    <w:rsid w:val="0039692F"/>
    <w:rsid w:val="0039694C"/>
    <w:rsid w:val="00397038"/>
    <w:rsid w:val="0039706E"/>
    <w:rsid w:val="00397BDF"/>
    <w:rsid w:val="003A00CA"/>
    <w:rsid w:val="003A0AF8"/>
    <w:rsid w:val="003A10B4"/>
    <w:rsid w:val="003A11A5"/>
    <w:rsid w:val="003A1F20"/>
    <w:rsid w:val="003A2494"/>
    <w:rsid w:val="003A2506"/>
    <w:rsid w:val="003A260E"/>
    <w:rsid w:val="003A2884"/>
    <w:rsid w:val="003A310C"/>
    <w:rsid w:val="003A387D"/>
    <w:rsid w:val="003A3DD8"/>
    <w:rsid w:val="003A4257"/>
    <w:rsid w:val="003A50DB"/>
    <w:rsid w:val="003A52DE"/>
    <w:rsid w:val="003A551E"/>
    <w:rsid w:val="003A55CF"/>
    <w:rsid w:val="003A61A1"/>
    <w:rsid w:val="003A788E"/>
    <w:rsid w:val="003A7B3C"/>
    <w:rsid w:val="003B012B"/>
    <w:rsid w:val="003B133E"/>
    <w:rsid w:val="003B1580"/>
    <w:rsid w:val="003B1586"/>
    <w:rsid w:val="003B18D1"/>
    <w:rsid w:val="003B1946"/>
    <w:rsid w:val="003B1A97"/>
    <w:rsid w:val="003B29CE"/>
    <w:rsid w:val="003B2E33"/>
    <w:rsid w:val="003B3054"/>
    <w:rsid w:val="003B3481"/>
    <w:rsid w:val="003B3E07"/>
    <w:rsid w:val="003B495F"/>
    <w:rsid w:val="003B4CC0"/>
    <w:rsid w:val="003B50A5"/>
    <w:rsid w:val="003B6137"/>
    <w:rsid w:val="003B63F3"/>
    <w:rsid w:val="003B667D"/>
    <w:rsid w:val="003B6795"/>
    <w:rsid w:val="003B6C6F"/>
    <w:rsid w:val="003B725D"/>
    <w:rsid w:val="003B757C"/>
    <w:rsid w:val="003B7800"/>
    <w:rsid w:val="003B78DE"/>
    <w:rsid w:val="003B7EAD"/>
    <w:rsid w:val="003C0C0A"/>
    <w:rsid w:val="003C0F67"/>
    <w:rsid w:val="003C11DD"/>
    <w:rsid w:val="003C139A"/>
    <w:rsid w:val="003C2177"/>
    <w:rsid w:val="003C245E"/>
    <w:rsid w:val="003C2705"/>
    <w:rsid w:val="003C2EED"/>
    <w:rsid w:val="003C2F08"/>
    <w:rsid w:val="003C3441"/>
    <w:rsid w:val="003C359D"/>
    <w:rsid w:val="003C362C"/>
    <w:rsid w:val="003C443D"/>
    <w:rsid w:val="003C51A1"/>
    <w:rsid w:val="003C5244"/>
    <w:rsid w:val="003C5D67"/>
    <w:rsid w:val="003C5EDD"/>
    <w:rsid w:val="003C6002"/>
    <w:rsid w:val="003C665B"/>
    <w:rsid w:val="003C66B3"/>
    <w:rsid w:val="003C6E2F"/>
    <w:rsid w:val="003C7077"/>
    <w:rsid w:val="003C712A"/>
    <w:rsid w:val="003C7541"/>
    <w:rsid w:val="003C7AAA"/>
    <w:rsid w:val="003C7D64"/>
    <w:rsid w:val="003D0366"/>
    <w:rsid w:val="003D057B"/>
    <w:rsid w:val="003D0594"/>
    <w:rsid w:val="003D0938"/>
    <w:rsid w:val="003D0965"/>
    <w:rsid w:val="003D09D2"/>
    <w:rsid w:val="003D0B4D"/>
    <w:rsid w:val="003D0CF2"/>
    <w:rsid w:val="003D0E89"/>
    <w:rsid w:val="003D10E1"/>
    <w:rsid w:val="003D139F"/>
    <w:rsid w:val="003D16BD"/>
    <w:rsid w:val="003D172F"/>
    <w:rsid w:val="003D1774"/>
    <w:rsid w:val="003D1830"/>
    <w:rsid w:val="003D1880"/>
    <w:rsid w:val="003D18BD"/>
    <w:rsid w:val="003D1B61"/>
    <w:rsid w:val="003D1D69"/>
    <w:rsid w:val="003D2342"/>
    <w:rsid w:val="003D2D6B"/>
    <w:rsid w:val="003D3134"/>
    <w:rsid w:val="003D3585"/>
    <w:rsid w:val="003D3CE9"/>
    <w:rsid w:val="003D4155"/>
    <w:rsid w:val="003D461A"/>
    <w:rsid w:val="003D4F85"/>
    <w:rsid w:val="003D5000"/>
    <w:rsid w:val="003D50BC"/>
    <w:rsid w:val="003D5297"/>
    <w:rsid w:val="003D5350"/>
    <w:rsid w:val="003D54CA"/>
    <w:rsid w:val="003D69FA"/>
    <w:rsid w:val="003D74BA"/>
    <w:rsid w:val="003D7C54"/>
    <w:rsid w:val="003D7D23"/>
    <w:rsid w:val="003E01C0"/>
    <w:rsid w:val="003E045D"/>
    <w:rsid w:val="003E0DA5"/>
    <w:rsid w:val="003E14CF"/>
    <w:rsid w:val="003E170C"/>
    <w:rsid w:val="003E176A"/>
    <w:rsid w:val="003E1800"/>
    <w:rsid w:val="003E25FB"/>
    <w:rsid w:val="003E2622"/>
    <w:rsid w:val="003E3441"/>
    <w:rsid w:val="003E3F75"/>
    <w:rsid w:val="003E4141"/>
    <w:rsid w:val="003E4407"/>
    <w:rsid w:val="003E58CE"/>
    <w:rsid w:val="003E5F0C"/>
    <w:rsid w:val="003E72D6"/>
    <w:rsid w:val="003E7350"/>
    <w:rsid w:val="003E7805"/>
    <w:rsid w:val="003E7A4C"/>
    <w:rsid w:val="003F16B8"/>
    <w:rsid w:val="003F1C9E"/>
    <w:rsid w:val="003F2688"/>
    <w:rsid w:val="003F2DB7"/>
    <w:rsid w:val="003F2F93"/>
    <w:rsid w:val="003F37EA"/>
    <w:rsid w:val="003F3985"/>
    <w:rsid w:val="003F3FBD"/>
    <w:rsid w:val="003F4045"/>
    <w:rsid w:val="003F4051"/>
    <w:rsid w:val="003F5502"/>
    <w:rsid w:val="003F55AB"/>
    <w:rsid w:val="003F6AB2"/>
    <w:rsid w:val="003F7513"/>
    <w:rsid w:val="003F7600"/>
    <w:rsid w:val="003F7AC2"/>
    <w:rsid w:val="003F7C5F"/>
    <w:rsid w:val="004004F7"/>
    <w:rsid w:val="00401132"/>
    <w:rsid w:val="00401395"/>
    <w:rsid w:val="00401468"/>
    <w:rsid w:val="004017B5"/>
    <w:rsid w:val="00401A11"/>
    <w:rsid w:val="004023BC"/>
    <w:rsid w:val="00402BBC"/>
    <w:rsid w:val="00403238"/>
    <w:rsid w:val="004033E9"/>
    <w:rsid w:val="0040361C"/>
    <w:rsid w:val="004038AE"/>
    <w:rsid w:val="004040E5"/>
    <w:rsid w:val="0040411E"/>
    <w:rsid w:val="004044F0"/>
    <w:rsid w:val="0040601A"/>
    <w:rsid w:val="004060A2"/>
    <w:rsid w:val="004064D6"/>
    <w:rsid w:val="004065CE"/>
    <w:rsid w:val="00406CD2"/>
    <w:rsid w:val="00406E7E"/>
    <w:rsid w:val="00407D2A"/>
    <w:rsid w:val="00407D33"/>
    <w:rsid w:val="004100FE"/>
    <w:rsid w:val="004101E4"/>
    <w:rsid w:val="004104D9"/>
    <w:rsid w:val="0041068B"/>
    <w:rsid w:val="00410A3C"/>
    <w:rsid w:val="00410D76"/>
    <w:rsid w:val="00410FE2"/>
    <w:rsid w:val="004118A5"/>
    <w:rsid w:val="00412912"/>
    <w:rsid w:val="00412AA8"/>
    <w:rsid w:val="00412B54"/>
    <w:rsid w:val="00412EAE"/>
    <w:rsid w:val="0041309D"/>
    <w:rsid w:val="00413E3B"/>
    <w:rsid w:val="00413F41"/>
    <w:rsid w:val="00414BCC"/>
    <w:rsid w:val="00414C1D"/>
    <w:rsid w:val="00415136"/>
    <w:rsid w:val="004153EC"/>
    <w:rsid w:val="004155AD"/>
    <w:rsid w:val="00415A76"/>
    <w:rsid w:val="00415FFF"/>
    <w:rsid w:val="00416028"/>
    <w:rsid w:val="00416C7B"/>
    <w:rsid w:val="004171FF"/>
    <w:rsid w:val="0041787F"/>
    <w:rsid w:val="00417B5C"/>
    <w:rsid w:val="00417FBB"/>
    <w:rsid w:val="00420270"/>
    <w:rsid w:val="00420450"/>
    <w:rsid w:val="00420695"/>
    <w:rsid w:val="00420F4F"/>
    <w:rsid w:val="00421477"/>
    <w:rsid w:val="00421749"/>
    <w:rsid w:val="00422814"/>
    <w:rsid w:val="00422B65"/>
    <w:rsid w:val="00423185"/>
    <w:rsid w:val="004232FB"/>
    <w:rsid w:val="00423C51"/>
    <w:rsid w:val="00423F54"/>
    <w:rsid w:val="00424125"/>
    <w:rsid w:val="00424A4B"/>
    <w:rsid w:val="00424E2B"/>
    <w:rsid w:val="004250D3"/>
    <w:rsid w:val="00425117"/>
    <w:rsid w:val="00425ED5"/>
    <w:rsid w:val="00426632"/>
    <w:rsid w:val="0042791C"/>
    <w:rsid w:val="004306DF"/>
    <w:rsid w:val="00430C89"/>
    <w:rsid w:val="00431784"/>
    <w:rsid w:val="00431F55"/>
    <w:rsid w:val="0043213C"/>
    <w:rsid w:val="0043230E"/>
    <w:rsid w:val="00432A4C"/>
    <w:rsid w:val="004330C8"/>
    <w:rsid w:val="00433259"/>
    <w:rsid w:val="00433669"/>
    <w:rsid w:val="00434633"/>
    <w:rsid w:val="004347A1"/>
    <w:rsid w:val="00434921"/>
    <w:rsid w:val="00434D71"/>
    <w:rsid w:val="00435186"/>
    <w:rsid w:val="0043549B"/>
    <w:rsid w:val="00435878"/>
    <w:rsid w:val="0043613C"/>
    <w:rsid w:val="004361F3"/>
    <w:rsid w:val="00436525"/>
    <w:rsid w:val="00436631"/>
    <w:rsid w:val="0043682A"/>
    <w:rsid w:val="00436908"/>
    <w:rsid w:val="00436BF4"/>
    <w:rsid w:val="00436C54"/>
    <w:rsid w:val="00436FD3"/>
    <w:rsid w:val="004373A5"/>
    <w:rsid w:val="0043747B"/>
    <w:rsid w:val="00440425"/>
    <w:rsid w:val="00440441"/>
    <w:rsid w:val="004404E3"/>
    <w:rsid w:val="0044063C"/>
    <w:rsid w:val="00440FF6"/>
    <w:rsid w:val="00441523"/>
    <w:rsid w:val="00441539"/>
    <w:rsid w:val="0044155B"/>
    <w:rsid w:val="00441598"/>
    <w:rsid w:val="0044198A"/>
    <w:rsid w:val="00441E84"/>
    <w:rsid w:val="004420F5"/>
    <w:rsid w:val="004424BE"/>
    <w:rsid w:val="0044264F"/>
    <w:rsid w:val="004428A3"/>
    <w:rsid w:val="00442AC6"/>
    <w:rsid w:val="00442D45"/>
    <w:rsid w:val="00442E82"/>
    <w:rsid w:val="00442FBF"/>
    <w:rsid w:val="00443C1F"/>
    <w:rsid w:val="00443DBF"/>
    <w:rsid w:val="00444768"/>
    <w:rsid w:val="00444864"/>
    <w:rsid w:val="004459ED"/>
    <w:rsid w:val="00446511"/>
    <w:rsid w:val="00446935"/>
    <w:rsid w:val="004470C8"/>
    <w:rsid w:val="00447E0F"/>
    <w:rsid w:val="00447ED3"/>
    <w:rsid w:val="004504E1"/>
    <w:rsid w:val="00450B91"/>
    <w:rsid w:val="00451892"/>
    <w:rsid w:val="00451C51"/>
    <w:rsid w:val="0045209B"/>
    <w:rsid w:val="0045210E"/>
    <w:rsid w:val="00452319"/>
    <w:rsid w:val="00452438"/>
    <w:rsid w:val="0045290A"/>
    <w:rsid w:val="00452E12"/>
    <w:rsid w:val="0045336B"/>
    <w:rsid w:val="00453F51"/>
    <w:rsid w:val="00454025"/>
    <w:rsid w:val="00454C64"/>
    <w:rsid w:val="004554B3"/>
    <w:rsid w:val="00455A91"/>
    <w:rsid w:val="00455CDA"/>
    <w:rsid w:val="00455E41"/>
    <w:rsid w:val="00456041"/>
    <w:rsid w:val="0045635C"/>
    <w:rsid w:val="00456DEF"/>
    <w:rsid w:val="0045782E"/>
    <w:rsid w:val="00457991"/>
    <w:rsid w:val="00460057"/>
    <w:rsid w:val="004601C7"/>
    <w:rsid w:val="004605EA"/>
    <w:rsid w:val="004607C7"/>
    <w:rsid w:val="00460B59"/>
    <w:rsid w:val="00460C0C"/>
    <w:rsid w:val="00460D4A"/>
    <w:rsid w:val="00461161"/>
    <w:rsid w:val="0046141B"/>
    <w:rsid w:val="00461614"/>
    <w:rsid w:val="0046168F"/>
    <w:rsid w:val="004619C7"/>
    <w:rsid w:val="00462721"/>
    <w:rsid w:val="00462848"/>
    <w:rsid w:val="00462BD3"/>
    <w:rsid w:val="00462F70"/>
    <w:rsid w:val="0046318E"/>
    <w:rsid w:val="004635E3"/>
    <w:rsid w:val="00463A0B"/>
    <w:rsid w:val="00463B45"/>
    <w:rsid w:val="00463D90"/>
    <w:rsid w:val="004640A1"/>
    <w:rsid w:val="00464279"/>
    <w:rsid w:val="00464B7E"/>
    <w:rsid w:val="004652A7"/>
    <w:rsid w:val="004652CD"/>
    <w:rsid w:val="004656E1"/>
    <w:rsid w:val="00465953"/>
    <w:rsid w:val="00465F7F"/>
    <w:rsid w:val="00466FFD"/>
    <w:rsid w:val="00467910"/>
    <w:rsid w:val="00467A68"/>
    <w:rsid w:val="00467C52"/>
    <w:rsid w:val="00467CFE"/>
    <w:rsid w:val="0047031E"/>
    <w:rsid w:val="0047039C"/>
    <w:rsid w:val="0047072B"/>
    <w:rsid w:val="00470C50"/>
    <w:rsid w:val="00470F74"/>
    <w:rsid w:val="0047131A"/>
    <w:rsid w:val="00471627"/>
    <w:rsid w:val="0047175B"/>
    <w:rsid w:val="00471D98"/>
    <w:rsid w:val="00472DBE"/>
    <w:rsid w:val="0047346A"/>
    <w:rsid w:val="00473949"/>
    <w:rsid w:val="00473C3C"/>
    <w:rsid w:val="004744E0"/>
    <w:rsid w:val="00474ACB"/>
    <w:rsid w:val="00474DEB"/>
    <w:rsid w:val="00474E1F"/>
    <w:rsid w:val="00474E2D"/>
    <w:rsid w:val="0047545B"/>
    <w:rsid w:val="00475A98"/>
    <w:rsid w:val="00475DE1"/>
    <w:rsid w:val="00476125"/>
    <w:rsid w:val="00476958"/>
    <w:rsid w:val="0048113B"/>
    <w:rsid w:val="004816AE"/>
    <w:rsid w:val="00481A74"/>
    <w:rsid w:val="00481ED4"/>
    <w:rsid w:val="00481F16"/>
    <w:rsid w:val="00482145"/>
    <w:rsid w:val="004832DF"/>
    <w:rsid w:val="004836D0"/>
    <w:rsid w:val="0048389E"/>
    <w:rsid w:val="00483C60"/>
    <w:rsid w:val="00483E36"/>
    <w:rsid w:val="00485275"/>
    <w:rsid w:val="004857D1"/>
    <w:rsid w:val="00485997"/>
    <w:rsid w:val="00485A0A"/>
    <w:rsid w:val="0048614D"/>
    <w:rsid w:val="0048623A"/>
    <w:rsid w:val="00486571"/>
    <w:rsid w:val="0048674E"/>
    <w:rsid w:val="0048679C"/>
    <w:rsid w:val="00487D0B"/>
    <w:rsid w:val="00487EBB"/>
    <w:rsid w:val="00490093"/>
    <w:rsid w:val="004905D5"/>
    <w:rsid w:val="00490646"/>
    <w:rsid w:val="00490A38"/>
    <w:rsid w:val="00490B5E"/>
    <w:rsid w:val="00490D92"/>
    <w:rsid w:val="00490ED0"/>
    <w:rsid w:val="004917BD"/>
    <w:rsid w:val="00492089"/>
    <w:rsid w:val="00492466"/>
    <w:rsid w:val="00492578"/>
    <w:rsid w:val="004930FF"/>
    <w:rsid w:val="00493F53"/>
    <w:rsid w:val="00494030"/>
    <w:rsid w:val="0049508A"/>
    <w:rsid w:val="0049531D"/>
    <w:rsid w:val="00496106"/>
    <w:rsid w:val="0049636D"/>
    <w:rsid w:val="0049784F"/>
    <w:rsid w:val="00497B29"/>
    <w:rsid w:val="00497EBC"/>
    <w:rsid w:val="004A0922"/>
    <w:rsid w:val="004A095A"/>
    <w:rsid w:val="004A0968"/>
    <w:rsid w:val="004A0FBC"/>
    <w:rsid w:val="004A1015"/>
    <w:rsid w:val="004A1404"/>
    <w:rsid w:val="004A1446"/>
    <w:rsid w:val="004A1545"/>
    <w:rsid w:val="004A16AE"/>
    <w:rsid w:val="004A1C5F"/>
    <w:rsid w:val="004A2082"/>
    <w:rsid w:val="004A224B"/>
    <w:rsid w:val="004A234A"/>
    <w:rsid w:val="004A24B7"/>
    <w:rsid w:val="004A322B"/>
    <w:rsid w:val="004A3530"/>
    <w:rsid w:val="004A39B6"/>
    <w:rsid w:val="004A4932"/>
    <w:rsid w:val="004A534F"/>
    <w:rsid w:val="004A5702"/>
    <w:rsid w:val="004A5D6F"/>
    <w:rsid w:val="004A5E5F"/>
    <w:rsid w:val="004A5FA3"/>
    <w:rsid w:val="004A60EB"/>
    <w:rsid w:val="004A675F"/>
    <w:rsid w:val="004A6C22"/>
    <w:rsid w:val="004A7254"/>
    <w:rsid w:val="004B02D3"/>
    <w:rsid w:val="004B0980"/>
    <w:rsid w:val="004B1024"/>
    <w:rsid w:val="004B13C9"/>
    <w:rsid w:val="004B1CDE"/>
    <w:rsid w:val="004B1EFC"/>
    <w:rsid w:val="004B248F"/>
    <w:rsid w:val="004B2894"/>
    <w:rsid w:val="004B32EB"/>
    <w:rsid w:val="004B33A3"/>
    <w:rsid w:val="004B3674"/>
    <w:rsid w:val="004B398B"/>
    <w:rsid w:val="004B4280"/>
    <w:rsid w:val="004B42F2"/>
    <w:rsid w:val="004B4612"/>
    <w:rsid w:val="004B5F8C"/>
    <w:rsid w:val="004B60E6"/>
    <w:rsid w:val="004B61B4"/>
    <w:rsid w:val="004B67F9"/>
    <w:rsid w:val="004B6965"/>
    <w:rsid w:val="004B6993"/>
    <w:rsid w:val="004B7984"/>
    <w:rsid w:val="004B7B56"/>
    <w:rsid w:val="004B7C36"/>
    <w:rsid w:val="004B7F8D"/>
    <w:rsid w:val="004B7FD7"/>
    <w:rsid w:val="004C0185"/>
    <w:rsid w:val="004C04B2"/>
    <w:rsid w:val="004C0E97"/>
    <w:rsid w:val="004C0FCF"/>
    <w:rsid w:val="004C1111"/>
    <w:rsid w:val="004C1A00"/>
    <w:rsid w:val="004C23D6"/>
    <w:rsid w:val="004C251B"/>
    <w:rsid w:val="004C2BA4"/>
    <w:rsid w:val="004C2CA1"/>
    <w:rsid w:val="004C33BE"/>
    <w:rsid w:val="004C378A"/>
    <w:rsid w:val="004C3B9C"/>
    <w:rsid w:val="004C3E71"/>
    <w:rsid w:val="004C4017"/>
    <w:rsid w:val="004C4374"/>
    <w:rsid w:val="004C471E"/>
    <w:rsid w:val="004C4E31"/>
    <w:rsid w:val="004C57FB"/>
    <w:rsid w:val="004C5F1D"/>
    <w:rsid w:val="004C618B"/>
    <w:rsid w:val="004C6432"/>
    <w:rsid w:val="004C6C50"/>
    <w:rsid w:val="004C71A2"/>
    <w:rsid w:val="004C7771"/>
    <w:rsid w:val="004C79BB"/>
    <w:rsid w:val="004D04A8"/>
    <w:rsid w:val="004D04ED"/>
    <w:rsid w:val="004D1385"/>
    <w:rsid w:val="004D185A"/>
    <w:rsid w:val="004D1CB7"/>
    <w:rsid w:val="004D1CE3"/>
    <w:rsid w:val="004D201F"/>
    <w:rsid w:val="004D2201"/>
    <w:rsid w:val="004D22E4"/>
    <w:rsid w:val="004D2426"/>
    <w:rsid w:val="004D29A8"/>
    <w:rsid w:val="004D383F"/>
    <w:rsid w:val="004D38BE"/>
    <w:rsid w:val="004D3B71"/>
    <w:rsid w:val="004D3CF9"/>
    <w:rsid w:val="004D4557"/>
    <w:rsid w:val="004D45F6"/>
    <w:rsid w:val="004D4840"/>
    <w:rsid w:val="004D4DA3"/>
    <w:rsid w:val="004D50A7"/>
    <w:rsid w:val="004D5592"/>
    <w:rsid w:val="004D64CE"/>
    <w:rsid w:val="004D66E2"/>
    <w:rsid w:val="004D6F4F"/>
    <w:rsid w:val="004D7420"/>
    <w:rsid w:val="004D7751"/>
    <w:rsid w:val="004D787A"/>
    <w:rsid w:val="004E05CA"/>
    <w:rsid w:val="004E1099"/>
    <w:rsid w:val="004E19BB"/>
    <w:rsid w:val="004E20E4"/>
    <w:rsid w:val="004E263E"/>
    <w:rsid w:val="004E3D3E"/>
    <w:rsid w:val="004E3DB2"/>
    <w:rsid w:val="004E3E4A"/>
    <w:rsid w:val="004E3E72"/>
    <w:rsid w:val="004E3F0D"/>
    <w:rsid w:val="004E4589"/>
    <w:rsid w:val="004E4B71"/>
    <w:rsid w:val="004E4BEF"/>
    <w:rsid w:val="004E67DD"/>
    <w:rsid w:val="004E7FAE"/>
    <w:rsid w:val="004F0380"/>
    <w:rsid w:val="004F0DBB"/>
    <w:rsid w:val="004F1D1D"/>
    <w:rsid w:val="004F1DAF"/>
    <w:rsid w:val="004F2226"/>
    <w:rsid w:val="004F22BE"/>
    <w:rsid w:val="004F292A"/>
    <w:rsid w:val="004F2CE6"/>
    <w:rsid w:val="004F3078"/>
    <w:rsid w:val="004F4146"/>
    <w:rsid w:val="004F490B"/>
    <w:rsid w:val="004F4991"/>
    <w:rsid w:val="004F5A1B"/>
    <w:rsid w:val="004F6583"/>
    <w:rsid w:val="00500215"/>
    <w:rsid w:val="005008F4"/>
    <w:rsid w:val="00500DF8"/>
    <w:rsid w:val="005013BC"/>
    <w:rsid w:val="005016E3"/>
    <w:rsid w:val="00501B16"/>
    <w:rsid w:val="00502540"/>
    <w:rsid w:val="00502668"/>
    <w:rsid w:val="005027EF"/>
    <w:rsid w:val="00502DC4"/>
    <w:rsid w:val="005030B7"/>
    <w:rsid w:val="00504A30"/>
    <w:rsid w:val="00504F5F"/>
    <w:rsid w:val="00505AA3"/>
    <w:rsid w:val="00505B73"/>
    <w:rsid w:val="00505FF7"/>
    <w:rsid w:val="00506666"/>
    <w:rsid w:val="00507160"/>
    <w:rsid w:val="005075B9"/>
    <w:rsid w:val="00507703"/>
    <w:rsid w:val="00510BEB"/>
    <w:rsid w:val="00510E9D"/>
    <w:rsid w:val="00510F1E"/>
    <w:rsid w:val="00512C27"/>
    <w:rsid w:val="00512EAD"/>
    <w:rsid w:val="00513894"/>
    <w:rsid w:val="00513963"/>
    <w:rsid w:val="00513FB4"/>
    <w:rsid w:val="00514023"/>
    <w:rsid w:val="0051433E"/>
    <w:rsid w:val="005144F6"/>
    <w:rsid w:val="00514784"/>
    <w:rsid w:val="00514797"/>
    <w:rsid w:val="00514820"/>
    <w:rsid w:val="00514B07"/>
    <w:rsid w:val="00514C31"/>
    <w:rsid w:val="00514C5F"/>
    <w:rsid w:val="00514D1D"/>
    <w:rsid w:val="00515108"/>
    <w:rsid w:val="005153D0"/>
    <w:rsid w:val="0051548A"/>
    <w:rsid w:val="00515DBD"/>
    <w:rsid w:val="00515EBC"/>
    <w:rsid w:val="00516527"/>
    <w:rsid w:val="0051727F"/>
    <w:rsid w:val="005173C3"/>
    <w:rsid w:val="00517632"/>
    <w:rsid w:val="00517C26"/>
    <w:rsid w:val="00520345"/>
    <w:rsid w:val="00520AFE"/>
    <w:rsid w:val="00521243"/>
    <w:rsid w:val="00521D87"/>
    <w:rsid w:val="00521E47"/>
    <w:rsid w:val="005225C4"/>
    <w:rsid w:val="00522A22"/>
    <w:rsid w:val="00522A7D"/>
    <w:rsid w:val="00522AF9"/>
    <w:rsid w:val="005233DE"/>
    <w:rsid w:val="005234C9"/>
    <w:rsid w:val="0052357A"/>
    <w:rsid w:val="00523684"/>
    <w:rsid w:val="00523A83"/>
    <w:rsid w:val="00523EE1"/>
    <w:rsid w:val="00524C1C"/>
    <w:rsid w:val="00524D5A"/>
    <w:rsid w:val="00525393"/>
    <w:rsid w:val="005256C4"/>
    <w:rsid w:val="00525AB5"/>
    <w:rsid w:val="00525D35"/>
    <w:rsid w:val="00527845"/>
    <w:rsid w:val="0053028E"/>
    <w:rsid w:val="00530894"/>
    <w:rsid w:val="00530E2B"/>
    <w:rsid w:val="00530E73"/>
    <w:rsid w:val="00531636"/>
    <w:rsid w:val="005319D4"/>
    <w:rsid w:val="00531F23"/>
    <w:rsid w:val="00532172"/>
    <w:rsid w:val="0053280D"/>
    <w:rsid w:val="0053286E"/>
    <w:rsid w:val="00532956"/>
    <w:rsid w:val="00532E8C"/>
    <w:rsid w:val="00533398"/>
    <w:rsid w:val="00534175"/>
    <w:rsid w:val="0053447F"/>
    <w:rsid w:val="0053455C"/>
    <w:rsid w:val="00534865"/>
    <w:rsid w:val="005348A7"/>
    <w:rsid w:val="00534D81"/>
    <w:rsid w:val="00534E24"/>
    <w:rsid w:val="00535073"/>
    <w:rsid w:val="005354DE"/>
    <w:rsid w:val="005358A6"/>
    <w:rsid w:val="00535FAD"/>
    <w:rsid w:val="005360C4"/>
    <w:rsid w:val="0053650C"/>
    <w:rsid w:val="00536822"/>
    <w:rsid w:val="0053716E"/>
    <w:rsid w:val="00537806"/>
    <w:rsid w:val="00537A08"/>
    <w:rsid w:val="00537D0E"/>
    <w:rsid w:val="00540216"/>
    <w:rsid w:val="0054021D"/>
    <w:rsid w:val="00540221"/>
    <w:rsid w:val="00540508"/>
    <w:rsid w:val="005407D8"/>
    <w:rsid w:val="0054083F"/>
    <w:rsid w:val="0054084D"/>
    <w:rsid w:val="00540992"/>
    <w:rsid w:val="00541251"/>
    <w:rsid w:val="00541836"/>
    <w:rsid w:val="00542A73"/>
    <w:rsid w:val="005432DC"/>
    <w:rsid w:val="0054429D"/>
    <w:rsid w:val="005449D3"/>
    <w:rsid w:val="00545853"/>
    <w:rsid w:val="00545B24"/>
    <w:rsid w:val="00545CD6"/>
    <w:rsid w:val="005464AF"/>
    <w:rsid w:val="00546731"/>
    <w:rsid w:val="00546950"/>
    <w:rsid w:val="00546C6B"/>
    <w:rsid w:val="00547002"/>
    <w:rsid w:val="00547043"/>
    <w:rsid w:val="00547091"/>
    <w:rsid w:val="0054730D"/>
    <w:rsid w:val="00547390"/>
    <w:rsid w:val="005473E2"/>
    <w:rsid w:val="00547F16"/>
    <w:rsid w:val="005500A3"/>
    <w:rsid w:val="005504E8"/>
    <w:rsid w:val="005508ED"/>
    <w:rsid w:val="005513B4"/>
    <w:rsid w:val="005520D9"/>
    <w:rsid w:val="00552A3E"/>
    <w:rsid w:val="00552C72"/>
    <w:rsid w:val="00552FDB"/>
    <w:rsid w:val="00553000"/>
    <w:rsid w:val="00553390"/>
    <w:rsid w:val="00553808"/>
    <w:rsid w:val="00553825"/>
    <w:rsid w:val="00554299"/>
    <w:rsid w:val="0055445F"/>
    <w:rsid w:val="0055458F"/>
    <w:rsid w:val="005545AD"/>
    <w:rsid w:val="005549CA"/>
    <w:rsid w:val="00554D8B"/>
    <w:rsid w:val="00555400"/>
    <w:rsid w:val="0055586B"/>
    <w:rsid w:val="00555D55"/>
    <w:rsid w:val="00556772"/>
    <w:rsid w:val="00556B0F"/>
    <w:rsid w:val="005574CB"/>
    <w:rsid w:val="005578B4"/>
    <w:rsid w:val="00557D8E"/>
    <w:rsid w:val="00557FBF"/>
    <w:rsid w:val="00560507"/>
    <w:rsid w:val="0056114B"/>
    <w:rsid w:val="0056152A"/>
    <w:rsid w:val="00561B44"/>
    <w:rsid w:val="005625F7"/>
    <w:rsid w:val="005626BC"/>
    <w:rsid w:val="005627D7"/>
    <w:rsid w:val="00562A4D"/>
    <w:rsid w:val="00562AAF"/>
    <w:rsid w:val="00562D09"/>
    <w:rsid w:val="00562DC5"/>
    <w:rsid w:val="005630D5"/>
    <w:rsid w:val="005634C2"/>
    <w:rsid w:val="00564BE5"/>
    <w:rsid w:val="00564C26"/>
    <w:rsid w:val="005659A6"/>
    <w:rsid w:val="00565E73"/>
    <w:rsid w:val="0056622A"/>
    <w:rsid w:val="005667D6"/>
    <w:rsid w:val="005667EB"/>
    <w:rsid w:val="005668BC"/>
    <w:rsid w:val="00567260"/>
    <w:rsid w:val="0056793A"/>
    <w:rsid w:val="00570B83"/>
    <w:rsid w:val="00570C66"/>
    <w:rsid w:val="00571208"/>
    <w:rsid w:val="00571A7A"/>
    <w:rsid w:val="00571BFF"/>
    <w:rsid w:val="00572069"/>
    <w:rsid w:val="005728BC"/>
    <w:rsid w:val="00572BC2"/>
    <w:rsid w:val="00572E6E"/>
    <w:rsid w:val="0057300E"/>
    <w:rsid w:val="0057309F"/>
    <w:rsid w:val="0057427E"/>
    <w:rsid w:val="0057429B"/>
    <w:rsid w:val="005742E2"/>
    <w:rsid w:val="00574542"/>
    <w:rsid w:val="0057460C"/>
    <w:rsid w:val="0057486C"/>
    <w:rsid w:val="00574F1A"/>
    <w:rsid w:val="00574F40"/>
    <w:rsid w:val="00575101"/>
    <w:rsid w:val="00575177"/>
    <w:rsid w:val="00575B91"/>
    <w:rsid w:val="00575BB8"/>
    <w:rsid w:val="00575FD5"/>
    <w:rsid w:val="00576514"/>
    <w:rsid w:val="0057655C"/>
    <w:rsid w:val="00576E3D"/>
    <w:rsid w:val="005770F9"/>
    <w:rsid w:val="005772FD"/>
    <w:rsid w:val="00577CE0"/>
    <w:rsid w:val="00577F64"/>
    <w:rsid w:val="005803AB"/>
    <w:rsid w:val="00580571"/>
    <w:rsid w:val="00580B66"/>
    <w:rsid w:val="005815EC"/>
    <w:rsid w:val="00581A5C"/>
    <w:rsid w:val="00581A76"/>
    <w:rsid w:val="00581B14"/>
    <w:rsid w:val="00582366"/>
    <w:rsid w:val="005824E0"/>
    <w:rsid w:val="005829DD"/>
    <w:rsid w:val="00582D2A"/>
    <w:rsid w:val="005830BE"/>
    <w:rsid w:val="00583D1A"/>
    <w:rsid w:val="00583ECE"/>
    <w:rsid w:val="005840A1"/>
    <w:rsid w:val="00584F48"/>
    <w:rsid w:val="00584FE0"/>
    <w:rsid w:val="00585059"/>
    <w:rsid w:val="005852AD"/>
    <w:rsid w:val="00585336"/>
    <w:rsid w:val="005855C5"/>
    <w:rsid w:val="00585EE6"/>
    <w:rsid w:val="005860DD"/>
    <w:rsid w:val="00586628"/>
    <w:rsid w:val="005866CD"/>
    <w:rsid w:val="0058674F"/>
    <w:rsid w:val="00587AAB"/>
    <w:rsid w:val="00587B9D"/>
    <w:rsid w:val="00590941"/>
    <w:rsid w:val="00590A19"/>
    <w:rsid w:val="0059106B"/>
    <w:rsid w:val="00591533"/>
    <w:rsid w:val="0059206D"/>
    <w:rsid w:val="00592113"/>
    <w:rsid w:val="00592252"/>
    <w:rsid w:val="00592529"/>
    <w:rsid w:val="005926D2"/>
    <w:rsid w:val="00592DC2"/>
    <w:rsid w:val="00593AC9"/>
    <w:rsid w:val="00593C0C"/>
    <w:rsid w:val="00594A69"/>
    <w:rsid w:val="00594DD4"/>
    <w:rsid w:val="00594DD6"/>
    <w:rsid w:val="00594FE2"/>
    <w:rsid w:val="00595095"/>
    <w:rsid w:val="00595457"/>
    <w:rsid w:val="00595B62"/>
    <w:rsid w:val="00595D60"/>
    <w:rsid w:val="00596451"/>
    <w:rsid w:val="0059678D"/>
    <w:rsid w:val="00596B3C"/>
    <w:rsid w:val="00596CC8"/>
    <w:rsid w:val="00596D43"/>
    <w:rsid w:val="00597ACD"/>
    <w:rsid w:val="005A0589"/>
    <w:rsid w:val="005A0E21"/>
    <w:rsid w:val="005A101C"/>
    <w:rsid w:val="005A1036"/>
    <w:rsid w:val="005A16C7"/>
    <w:rsid w:val="005A1709"/>
    <w:rsid w:val="005A1845"/>
    <w:rsid w:val="005A19EE"/>
    <w:rsid w:val="005A1A89"/>
    <w:rsid w:val="005A1DE2"/>
    <w:rsid w:val="005A229C"/>
    <w:rsid w:val="005A2795"/>
    <w:rsid w:val="005A2DDF"/>
    <w:rsid w:val="005A2F6D"/>
    <w:rsid w:val="005A3188"/>
    <w:rsid w:val="005A3876"/>
    <w:rsid w:val="005A3B7B"/>
    <w:rsid w:val="005A4AE9"/>
    <w:rsid w:val="005A5605"/>
    <w:rsid w:val="005A579A"/>
    <w:rsid w:val="005A5B09"/>
    <w:rsid w:val="005A5DC8"/>
    <w:rsid w:val="005A5EC2"/>
    <w:rsid w:val="005A64D4"/>
    <w:rsid w:val="005A698E"/>
    <w:rsid w:val="005A6D8E"/>
    <w:rsid w:val="005A707C"/>
    <w:rsid w:val="005A719D"/>
    <w:rsid w:val="005A71E2"/>
    <w:rsid w:val="005A7255"/>
    <w:rsid w:val="005A7365"/>
    <w:rsid w:val="005A73F8"/>
    <w:rsid w:val="005A7BE9"/>
    <w:rsid w:val="005A7CDB"/>
    <w:rsid w:val="005B030A"/>
    <w:rsid w:val="005B0715"/>
    <w:rsid w:val="005B0813"/>
    <w:rsid w:val="005B0F64"/>
    <w:rsid w:val="005B13C0"/>
    <w:rsid w:val="005B1A9C"/>
    <w:rsid w:val="005B207D"/>
    <w:rsid w:val="005B2CA4"/>
    <w:rsid w:val="005B2EA9"/>
    <w:rsid w:val="005B3032"/>
    <w:rsid w:val="005B33FC"/>
    <w:rsid w:val="005B3436"/>
    <w:rsid w:val="005B367B"/>
    <w:rsid w:val="005B37E0"/>
    <w:rsid w:val="005B3916"/>
    <w:rsid w:val="005B39C0"/>
    <w:rsid w:val="005B3AA4"/>
    <w:rsid w:val="005B3B49"/>
    <w:rsid w:val="005B4870"/>
    <w:rsid w:val="005B4A48"/>
    <w:rsid w:val="005B4D99"/>
    <w:rsid w:val="005B4F8D"/>
    <w:rsid w:val="005B5236"/>
    <w:rsid w:val="005B5DD2"/>
    <w:rsid w:val="005B61AD"/>
    <w:rsid w:val="005B647C"/>
    <w:rsid w:val="005B6697"/>
    <w:rsid w:val="005B6CB3"/>
    <w:rsid w:val="005B6E0B"/>
    <w:rsid w:val="005B7040"/>
    <w:rsid w:val="005B783F"/>
    <w:rsid w:val="005C03A6"/>
    <w:rsid w:val="005C0746"/>
    <w:rsid w:val="005C0B1C"/>
    <w:rsid w:val="005C0CCB"/>
    <w:rsid w:val="005C160B"/>
    <w:rsid w:val="005C1731"/>
    <w:rsid w:val="005C1D17"/>
    <w:rsid w:val="005C1EFC"/>
    <w:rsid w:val="005C204F"/>
    <w:rsid w:val="005C218E"/>
    <w:rsid w:val="005C2E9B"/>
    <w:rsid w:val="005C3A79"/>
    <w:rsid w:val="005C3E9C"/>
    <w:rsid w:val="005C498A"/>
    <w:rsid w:val="005C4BB9"/>
    <w:rsid w:val="005C4F34"/>
    <w:rsid w:val="005C5312"/>
    <w:rsid w:val="005C5C9E"/>
    <w:rsid w:val="005C5FB8"/>
    <w:rsid w:val="005C610E"/>
    <w:rsid w:val="005C640E"/>
    <w:rsid w:val="005C6516"/>
    <w:rsid w:val="005C653A"/>
    <w:rsid w:val="005C6A33"/>
    <w:rsid w:val="005C6BF7"/>
    <w:rsid w:val="005C7519"/>
    <w:rsid w:val="005CD881"/>
    <w:rsid w:val="005D0002"/>
    <w:rsid w:val="005D01BC"/>
    <w:rsid w:val="005D04FD"/>
    <w:rsid w:val="005D09CF"/>
    <w:rsid w:val="005D0E22"/>
    <w:rsid w:val="005D112E"/>
    <w:rsid w:val="005D1AF2"/>
    <w:rsid w:val="005D1ED1"/>
    <w:rsid w:val="005D2C12"/>
    <w:rsid w:val="005D2C40"/>
    <w:rsid w:val="005D2CE0"/>
    <w:rsid w:val="005D3CDD"/>
    <w:rsid w:val="005D419A"/>
    <w:rsid w:val="005D423E"/>
    <w:rsid w:val="005D4368"/>
    <w:rsid w:val="005D4778"/>
    <w:rsid w:val="005D486A"/>
    <w:rsid w:val="005D4990"/>
    <w:rsid w:val="005D5061"/>
    <w:rsid w:val="005D58A5"/>
    <w:rsid w:val="005D5926"/>
    <w:rsid w:val="005D5B53"/>
    <w:rsid w:val="005D6C1B"/>
    <w:rsid w:val="005D6D0D"/>
    <w:rsid w:val="005D783C"/>
    <w:rsid w:val="005D7D74"/>
    <w:rsid w:val="005D7E31"/>
    <w:rsid w:val="005E022F"/>
    <w:rsid w:val="005E0475"/>
    <w:rsid w:val="005E0522"/>
    <w:rsid w:val="005E10BB"/>
    <w:rsid w:val="005E10C8"/>
    <w:rsid w:val="005E15EF"/>
    <w:rsid w:val="005E1921"/>
    <w:rsid w:val="005E1BC2"/>
    <w:rsid w:val="005E2F4E"/>
    <w:rsid w:val="005E3314"/>
    <w:rsid w:val="005E388F"/>
    <w:rsid w:val="005E3ABC"/>
    <w:rsid w:val="005E422B"/>
    <w:rsid w:val="005E459B"/>
    <w:rsid w:val="005E49D7"/>
    <w:rsid w:val="005E4A18"/>
    <w:rsid w:val="005E4C6F"/>
    <w:rsid w:val="005E51A3"/>
    <w:rsid w:val="005E535E"/>
    <w:rsid w:val="005E54D0"/>
    <w:rsid w:val="005E6090"/>
    <w:rsid w:val="005E6422"/>
    <w:rsid w:val="005E6847"/>
    <w:rsid w:val="005E68F4"/>
    <w:rsid w:val="005E75C0"/>
    <w:rsid w:val="005E7925"/>
    <w:rsid w:val="005E7D4B"/>
    <w:rsid w:val="005E7E44"/>
    <w:rsid w:val="005F01D0"/>
    <w:rsid w:val="005F03EA"/>
    <w:rsid w:val="005F117E"/>
    <w:rsid w:val="005F1A8C"/>
    <w:rsid w:val="005F274D"/>
    <w:rsid w:val="005F28D7"/>
    <w:rsid w:val="005F30CE"/>
    <w:rsid w:val="005F3252"/>
    <w:rsid w:val="005F336C"/>
    <w:rsid w:val="005F346B"/>
    <w:rsid w:val="005F40DA"/>
    <w:rsid w:val="005F4494"/>
    <w:rsid w:val="005F45BE"/>
    <w:rsid w:val="005F4A38"/>
    <w:rsid w:val="005F52A3"/>
    <w:rsid w:val="005F5392"/>
    <w:rsid w:val="005F5A9C"/>
    <w:rsid w:val="005F5BC0"/>
    <w:rsid w:val="005F5D04"/>
    <w:rsid w:val="005F6A13"/>
    <w:rsid w:val="005F6D7D"/>
    <w:rsid w:val="005F6DF5"/>
    <w:rsid w:val="005F75F3"/>
    <w:rsid w:val="005F762D"/>
    <w:rsid w:val="005F78D6"/>
    <w:rsid w:val="0060017C"/>
    <w:rsid w:val="00600277"/>
    <w:rsid w:val="00600570"/>
    <w:rsid w:val="00600B45"/>
    <w:rsid w:val="00600DDF"/>
    <w:rsid w:val="00601A0A"/>
    <w:rsid w:val="006021B0"/>
    <w:rsid w:val="006024D2"/>
    <w:rsid w:val="00602D34"/>
    <w:rsid w:val="006045A5"/>
    <w:rsid w:val="00604858"/>
    <w:rsid w:val="00604BB9"/>
    <w:rsid w:val="00604C26"/>
    <w:rsid w:val="00604D46"/>
    <w:rsid w:val="006053A9"/>
    <w:rsid w:val="00606038"/>
    <w:rsid w:val="00606345"/>
    <w:rsid w:val="006065F2"/>
    <w:rsid w:val="006066DE"/>
    <w:rsid w:val="0060678E"/>
    <w:rsid w:val="00606C9C"/>
    <w:rsid w:val="006074A4"/>
    <w:rsid w:val="00610AD7"/>
    <w:rsid w:val="00610E9D"/>
    <w:rsid w:val="00611C52"/>
    <w:rsid w:val="00612161"/>
    <w:rsid w:val="006134BE"/>
    <w:rsid w:val="00613D66"/>
    <w:rsid w:val="006146E8"/>
    <w:rsid w:val="006147F4"/>
    <w:rsid w:val="0061521A"/>
    <w:rsid w:val="006157B9"/>
    <w:rsid w:val="00615D8C"/>
    <w:rsid w:val="006163C8"/>
    <w:rsid w:val="0061660B"/>
    <w:rsid w:val="006166AA"/>
    <w:rsid w:val="00616D4E"/>
    <w:rsid w:val="00616ECA"/>
    <w:rsid w:val="00616F47"/>
    <w:rsid w:val="00617395"/>
    <w:rsid w:val="00617518"/>
    <w:rsid w:val="00617599"/>
    <w:rsid w:val="00617C64"/>
    <w:rsid w:val="006207DD"/>
    <w:rsid w:val="006208E5"/>
    <w:rsid w:val="00620CAF"/>
    <w:rsid w:val="00620CDC"/>
    <w:rsid w:val="006212C9"/>
    <w:rsid w:val="0062132F"/>
    <w:rsid w:val="0062178A"/>
    <w:rsid w:val="006218DB"/>
    <w:rsid w:val="00621D38"/>
    <w:rsid w:val="00621DE5"/>
    <w:rsid w:val="00621E51"/>
    <w:rsid w:val="0062212F"/>
    <w:rsid w:val="006221EA"/>
    <w:rsid w:val="00622451"/>
    <w:rsid w:val="006229D2"/>
    <w:rsid w:val="00622A3F"/>
    <w:rsid w:val="00622DD6"/>
    <w:rsid w:val="00622EC7"/>
    <w:rsid w:val="00622F4B"/>
    <w:rsid w:val="00623826"/>
    <w:rsid w:val="00624AA0"/>
    <w:rsid w:val="00624F73"/>
    <w:rsid w:val="006252AF"/>
    <w:rsid w:val="00625BF4"/>
    <w:rsid w:val="00625CA3"/>
    <w:rsid w:val="006263B7"/>
    <w:rsid w:val="00626F3D"/>
    <w:rsid w:val="006279DB"/>
    <w:rsid w:val="00627B50"/>
    <w:rsid w:val="00627B9D"/>
    <w:rsid w:val="00627C18"/>
    <w:rsid w:val="006303A2"/>
    <w:rsid w:val="0063067E"/>
    <w:rsid w:val="00630727"/>
    <w:rsid w:val="00630881"/>
    <w:rsid w:val="00630F89"/>
    <w:rsid w:val="0063117A"/>
    <w:rsid w:val="00631298"/>
    <w:rsid w:val="0063152E"/>
    <w:rsid w:val="006316D5"/>
    <w:rsid w:val="00631C1E"/>
    <w:rsid w:val="0063224C"/>
    <w:rsid w:val="00632464"/>
    <w:rsid w:val="00632C8A"/>
    <w:rsid w:val="006333B6"/>
    <w:rsid w:val="006336EA"/>
    <w:rsid w:val="00634A23"/>
    <w:rsid w:val="006354B3"/>
    <w:rsid w:val="00635566"/>
    <w:rsid w:val="0063578D"/>
    <w:rsid w:val="006357A2"/>
    <w:rsid w:val="006364C9"/>
    <w:rsid w:val="00636B2D"/>
    <w:rsid w:val="00636BB6"/>
    <w:rsid w:val="00636E50"/>
    <w:rsid w:val="006371F6"/>
    <w:rsid w:val="00637334"/>
    <w:rsid w:val="006375C4"/>
    <w:rsid w:val="00637A59"/>
    <w:rsid w:val="006401C4"/>
    <w:rsid w:val="0064058C"/>
    <w:rsid w:val="00640967"/>
    <w:rsid w:val="00640DC1"/>
    <w:rsid w:val="00640FAA"/>
    <w:rsid w:val="0064103D"/>
    <w:rsid w:val="006418DC"/>
    <w:rsid w:val="00641CB0"/>
    <w:rsid w:val="0064338F"/>
    <w:rsid w:val="00643DE3"/>
    <w:rsid w:val="00644562"/>
    <w:rsid w:val="00645C50"/>
    <w:rsid w:val="0064612C"/>
    <w:rsid w:val="006462DB"/>
    <w:rsid w:val="00646547"/>
    <w:rsid w:val="006472A5"/>
    <w:rsid w:val="00647373"/>
    <w:rsid w:val="00647B80"/>
    <w:rsid w:val="00647DC8"/>
    <w:rsid w:val="00647E7A"/>
    <w:rsid w:val="00650766"/>
    <w:rsid w:val="006509A3"/>
    <w:rsid w:val="00650CC1"/>
    <w:rsid w:val="00650E97"/>
    <w:rsid w:val="00650FB2"/>
    <w:rsid w:val="00651EE6"/>
    <w:rsid w:val="00652C6A"/>
    <w:rsid w:val="00652C7D"/>
    <w:rsid w:val="00652EE8"/>
    <w:rsid w:val="00652EEA"/>
    <w:rsid w:val="006534D7"/>
    <w:rsid w:val="006536F8"/>
    <w:rsid w:val="00653A50"/>
    <w:rsid w:val="00653B83"/>
    <w:rsid w:val="00653C42"/>
    <w:rsid w:val="00654300"/>
    <w:rsid w:val="00654B7F"/>
    <w:rsid w:val="006551AE"/>
    <w:rsid w:val="006565C0"/>
    <w:rsid w:val="006566AF"/>
    <w:rsid w:val="00656A57"/>
    <w:rsid w:val="00656E21"/>
    <w:rsid w:val="00656E3B"/>
    <w:rsid w:val="00656FE1"/>
    <w:rsid w:val="00657076"/>
    <w:rsid w:val="00657727"/>
    <w:rsid w:val="00657751"/>
    <w:rsid w:val="00657ABF"/>
    <w:rsid w:val="00657D12"/>
    <w:rsid w:val="00661565"/>
    <w:rsid w:val="00661A36"/>
    <w:rsid w:val="00662352"/>
    <w:rsid w:val="0066281F"/>
    <w:rsid w:val="00662B3A"/>
    <w:rsid w:val="00662D24"/>
    <w:rsid w:val="00662D39"/>
    <w:rsid w:val="00662DEC"/>
    <w:rsid w:val="0066322F"/>
    <w:rsid w:val="00663649"/>
    <w:rsid w:val="00663793"/>
    <w:rsid w:val="00663D86"/>
    <w:rsid w:val="006640D5"/>
    <w:rsid w:val="0066488A"/>
    <w:rsid w:val="00664981"/>
    <w:rsid w:val="00665062"/>
    <w:rsid w:val="0066523F"/>
    <w:rsid w:val="00665608"/>
    <w:rsid w:val="0066599F"/>
    <w:rsid w:val="00665CBD"/>
    <w:rsid w:val="00665F30"/>
    <w:rsid w:val="00665F85"/>
    <w:rsid w:val="00666172"/>
    <w:rsid w:val="00666304"/>
    <w:rsid w:val="0066727E"/>
    <w:rsid w:val="00667E68"/>
    <w:rsid w:val="00670693"/>
    <w:rsid w:val="00670ED8"/>
    <w:rsid w:val="006711CE"/>
    <w:rsid w:val="00671621"/>
    <w:rsid w:val="00671D4C"/>
    <w:rsid w:val="00672F13"/>
    <w:rsid w:val="006730B6"/>
    <w:rsid w:val="006731C2"/>
    <w:rsid w:val="00673406"/>
    <w:rsid w:val="00673520"/>
    <w:rsid w:val="006735AA"/>
    <w:rsid w:val="00673FEF"/>
    <w:rsid w:val="00674771"/>
    <w:rsid w:val="00674794"/>
    <w:rsid w:val="00675119"/>
    <w:rsid w:val="0067533D"/>
    <w:rsid w:val="0067599E"/>
    <w:rsid w:val="00675F72"/>
    <w:rsid w:val="00676432"/>
    <w:rsid w:val="006774DF"/>
    <w:rsid w:val="0067782C"/>
    <w:rsid w:val="00677D21"/>
    <w:rsid w:val="00677DC3"/>
    <w:rsid w:val="006805F9"/>
    <w:rsid w:val="00680EED"/>
    <w:rsid w:val="00681088"/>
    <w:rsid w:val="00681C3F"/>
    <w:rsid w:val="00682092"/>
    <w:rsid w:val="00682DE2"/>
    <w:rsid w:val="00682EF8"/>
    <w:rsid w:val="00683CED"/>
    <w:rsid w:val="0068447A"/>
    <w:rsid w:val="00684B96"/>
    <w:rsid w:val="00684C0E"/>
    <w:rsid w:val="00684FF5"/>
    <w:rsid w:val="006855C5"/>
    <w:rsid w:val="00685743"/>
    <w:rsid w:val="0068610B"/>
    <w:rsid w:val="00686353"/>
    <w:rsid w:val="0068636C"/>
    <w:rsid w:val="0068650C"/>
    <w:rsid w:val="006868E6"/>
    <w:rsid w:val="00686B2E"/>
    <w:rsid w:val="00687835"/>
    <w:rsid w:val="00687B07"/>
    <w:rsid w:val="00687DE2"/>
    <w:rsid w:val="00687F72"/>
    <w:rsid w:val="0069027A"/>
    <w:rsid w:val="00690750"/>
    <w:rsid w:val="00690A2B"/>
    <w:rsid w:val="00690E8E"/>
    <w:rsid w:val="006910BF"/>
    <w:rsid w:val="00691292"/>
    <w:rsid w:val="00691A4E"/>
    <w:rsid w:val="00691A74"/>
    <w:rsid w:val="00691B14"/>
    <w:rsid w:val="00691DDE"/>
    <w:rsid w:val="00692CB1"/>
    <w:rsid w:val="00692ECE"/>
    <w:rsid w:val="00693845"/>
    <w:rsid w:val="0069412F"/>
    <w:rsid w:val="006943FB"/>
    <w:rsid w:val="006944F3"/>
    <w:rsid w:val="00695427"/>
    <w:rsid w:val="006968EB"/>
    <w:rsid w:val="00696EBB"/>
    <w:rsid w:val="00697227"/>
    <w:rsid w:val="00697488"/>
    <w:rsid w:val="006975B6"/>
    <w:rsid w:val="00697BD5"/>
    <w:rsid w:val="00697E2B"/>
    <w:rsid w:val="00697F2D"/>
    <w:rsid w:val="006A00E9"/>
    <w:rsid w:val="006A0186"/>
    <w:rsid w:val="006A0773"/>
    <w:rsid w:val="006A0CC6"/>
    <w:rsid w:val="006A121E"/>
    <w:rsid w:val="006A1384"/>
    <w:rsid w:val="006A1683"/>
    <w:rsid w:val="006A1C42"/>
    <w:rsid w:val="006A1DE2"/>
    <w:rsid w:val="006A394B"/>
    <w:rsid w:val="006A43C8"/>
    <w:rsid w:val="006A457A"/>
    <w:rsid w:val="006A47B4"/>
    <w:rsid w:val="006A4953"/>
    <w:rsid w:val="006A52C3"/>
    <w:rsid w:val="006A5B21"/>
    <w:rsid w:val="006A609B"/>
    <w:rsid w:val="006A6C94"/>
    <w:rsid w:val="006A701D"/>
    <w:rsid w:val="006A726E"/>
    <w:rsid w:val="006A7349"/>
    <w:rsid w:val="006A737C"/>
    <w:rsid w:val="006A774E"/>
    <w:rsid w:val="006B0472"/>
    <w:rsid w:val="006B0712"/>
    <w:rsid w:val="006B0C09"/>
    <w:rsid w:val="006B1B22"/>
    <w:rsid w:val="006B24C4"/>
    <w:rsid w:val="006B2A0B"/>
    <w:rsid w:val="006B30BE"/>
    <w:rsid w:val="006B3C6B"/>
    <w:rsid w:val="006B3C8D"/>
    <w:rsid w:val="006B3D3C"/>
    <w:rsid w:val="006B457B"/>
    <w:rsid w:val="006B4668"/>
    <w:rsid w:val="006B53BE"/>
    <w:rsid w:val="006B5E0B"/>
    <w:rsid w:val="006B6833"/>
    <w:rsid w:val="006C10BB"/>
    <w:rsid w:val="006C116F"/>
    <w:rsid w:val="006C21A1"/>
    <w:rsid w:val="006C21EA"/>
    <w:rsid w:val="006C26AD"/>
    <w:rsid w:val="006C29A2"/>
    <w:rsid w:val="006C2CBB"/>
    <w:rsid w:val="006C2E0B"/>
    <w:rsid w:val="006C3619"/>
    <w:rsid w:val="006C3C9F"/>
    <w:rsid w:val="006C3E5A"/>
    <w:rsid w:val="006C45FF"/>
    <w:rsid w:val="006C4B65"/>
    <w:rsid w:val="006C4FAF"/>
    <w:rsid w:val="006C540A"/>
    <w:rsid w:val="006C575E"/>
    <w:rsid w:val="006C5CE4"/>
    <w:rsid w:val="006C6CB1"/>
    <w:rsid w:val="006C7790"/>
    <w:rsid w:val="006C7E41"/>
    <w:rsid w:val="006D02F6"/>
    <w:rsid w:val="006D0738"/>
    <w:rsid w:val="006D09DB"/>
    <w:rsid w:val="006D0DA3"/>
    <w:rsid w:val="006D13E6"/>
    <w:rsid w:val="006D15BB"/>
    <w:rsid w:val="006D1D5A"/>
    <w:rsid w:val="006D232A"/>
    <w:rsid w:val="006D2559"/>
    <w:rsid w:val="006D2E8E"/>
    <w:rsid w:val="006D3085"/>
    <w:rsid w:val="006D333B"/>
    <w:rsid w:val="006D3393"/>
    <w:rsid w:val="006D37CB"/>
    <w:rsid w:val="006D3CB7"/>
    <w:rsid w:val="006D4130"/>
    <w:rsid w:val="006D424C"/>
    <w:rsid w:val="006D45EC"/>
    <w:rsid w:val="006D4CAE"/>
    <w:rsid w:val="006D4CC7"/>
    <w:rsid w:val="006D5B9C"/>
    <w:rsid w:val="006D5D7E"/>
    <w:rsid w:val="006D5F1A"/>
    <w:rsid w:val="006D65D3"/>
    <w:rsid w:val="006D739F"/>
    <w:rsid w:val="006D77C8"/>
    <w:rsid w:val="006D7B4D"/>
    <w:rsid w:val="006D7D1A"/>
    <w:rsid w:val="006D7DD2"/>
    <w:rsid w:val="006E013C"/>
    <w:rsid w:val="006E05B5"/>
    <w:rsid w:val="006E06AC"/>
    <w:rsid w:val="006E1365"/>
    <w:rsid w:val="006E195C"/>
    <w:rsid w:val="006E1AC2"/>
    <w:rsid w:val="006E1BB9"/>
    <w:rsid w:val="006E1C97"/>
    <w:rsid w:val="006E1F1A"/>
    <w:rsid w:val="006E1F48"/>
    <w:rsid w:val="006E282A"/>
    <w:rsid w:val="006E2C9B"/>
    <w:rsid w:val="006E2D79"/>
    <w:rsid w:val="006E318E"/>
    <w:rsid w:val="006E3928"/>
    <w:rsid w:val="006E4159"/>
    <w:rsid w:val="006E41DC"/>
    <w:rsid w:val="006E44B5"/>
    <w:rsid w:val="006E4AA9"/>
    <w:rsid w:val="006E4FEA"/>
    <w:rsid w:val="006E5743"/>
    <w:rsid w:val="006E598D"/>
    <w:rsid w:val="006E5DF6"/>
    <w:rsid w:val="006E5F11"/>
    <w:rsid w:val="006E614B"/>
    <w:rsid w:val="006E6408"/>
    <w:rsid w:val="006E6857"/>
    <w:rsid w:val="006E6F28"/>
    <w:rsid w:val="006E6F33"/>
    <w:rsid w:val="006E6FB3"/>
    <w:rsid w:val="006E7258"/>
    <w:rsid w:val="006E7EA7"/>
    <w:rsid w:val="006F038C"/>
    <w:rsid w:val="006F090B"/>
    <w:rsid w:val="006F093E"/>
    <w:rsid w:val="006F0C67"/>
    <w:rsid w:val="006F0D02"/>
    <w:rsid w:val="006F0DA4"/>
    <w:rsid w:val="006F138C"/>
    <w:rsid w:val="006F1B2B"/>
    <w:rsid w:val="006F1BB2"/>
    <w:rsid w:val="006F1E6F"/>
    <w:rsid w:val="006F20BF"/>
    <w:rsid w:val="006F2237"/>
    <w:rsid w:val="006F28C1"/>
    <w:rsid w:val="006F2C81"/>
    <w:rsid w:val="006F2DF8"/>
    <w:rsid w:val="006F2E67"/>
    <w:rsid w:val="006F338D"/>
    <w:rsid w:val="006F4295"/>
    <w:rsid w:val="006F4442"/>
    <w:rsid w:val="006F448A"/>
    <w:rsid w:val="006F4A8A"/>
    <w:rsid w:val="006F542A"/>
    <w:rsid w:val="006F5F92"/>
    <w:rsid w:val="006F6192"/>
    <w:rsid w:val="006F641D"/>
    <w:rsid w:val="006F727D"/>
    <w:rsid w:val="006F7B8A"/>
    <w:rsid w:val="00700104"/>
    <w:rsid w:val="007003E6"/>
    <w:rsid w:val="00700B3B"/>
    <w:rsid w:val="007014B4"/>
    <w:rsid w:val="0070164E"/>
    <w:rsid w:val="0070189A"/>
    <w:rsid w:val="00701AD0"/>
    <w:rsid w:val="0070265A"/>
    <w:rsid w:val="0070274C"/>
    <w:rsid w:val="00702A33"/>
    <w:rsid w:val="00702AB2"/>
    <w:rsid w:val="00702ADA"/>
    <w:rsid w:val="00702B31"/>
    <w:rsid w:val="00702D97"/>
    <w:rsid w:val="00702F38"/>
    <w:rsid w:val="00703544"/>
    <w:rsid w:val="00704866"/>
    <w:rsid w:val="00704A23"/>
    <w:rsid w:val="0070527F"/>
    <w:rsid w:val="00705E76"/>
    <w:rsid w:val="007061C6"/>
    <w:rsid w:val="0070626B"/>
    <w:rsid w:val="007063D5"/>
    <w:rsid w:val="0070643E"/>
    <w:rsid w:val="00706BAE"/>
    <w:rsid w:val="00706F23"/>
    <w:rsid w:val="007074F0"/>
    <w:rsid w:val="0071026E"/>
    <w:rsid w:val="007102D5"/>
    <w:rsid w:val="007106BE"/>
    <w:rsid w:val="007114C7"/>
    <w:rsid w:val="00711577"/>
    <w:rsid w:val="00711922"/>
    <w:rsid w:val="0071212D"/>
    <w:rsid w:val="00712611"/>
    <w:rsid w:val="00712CA9"/>
    <w:rsid w:val="00713022"/>
    <w:rsid w:val="00713040"/>
    <w:rsid w:val="00713148"/>
    <w:rsid w:val="00713B20"/>
    <w:rsid w:val="00713F5C"/>
    <w:rsid w:val="007144AE"/>
    <w:rsid w:val="007144CC"/>
    <w:rsid w:val="007147A8"/>
    <w:rsid w:val="00714CF1"/>
    <w:rsid w:val="00714DC7"/>
    <w:rsid w:val="00715E1A"/>
    <w:rsid w:val="00716886"/>
    <w:rsid w:val="00716D57"/>
    <w:rsid w:val="00716F8F"/>
    <w:rsid w:val="0071702B"/>
    <w:rsid w:val="0071726E"/>
    <w:rsid w:val="0071762D"/>
    <w:rsid w:val="00720DB7"/>
    <w:rsid w:val="00720FDC"/>
    <w:rsid w:val="00721259"/>
    <w:rsid w:val="00721D7F"/>
    <w:rsid w:val="0072275C"/>
    <w:rsid w:val="00722844"/>
    <w:rsid w:val="00722928"/>
    <w:rsid w:val="00722BFB"/>
    <w:rsid w:val="00722FE1"/>
    <w:rsid w:val="00723AE9"/>
    <w:rsid w:val="00723DEE"/>
    <w:rsid w:val="00723F33"/>
    <w:rsid w:val="007255BC"/>
    <w:rsid w:val="007255E9"/>
    <w:rsid w:val="00725ECA"/>
    <w:rsid w:val="00726A0D"/>
    <w:rsid w:val="00726F0E"/>
    <w:rsid w:val="0072733D"/>
    <w:rsid w:val="00727ED7"/>
    <w:rsid w:val="00727F68"/>
    <w:rsid w:val="00730421"/>
    <w:rsid w:val="00730434"/>
    <w:rsid w:val="00730769"/>
    <w:rsid w:val="00730A57"/>
    <w:rsid w:val="00730FB0"/>
    <w:rsid w:val="00731173"/>
    <w:rsid w:val="007315C9"/>
    <w:rsid w:val="0073170D"/>
    <w:rsid w:val="0073171F"/>
    <w:rsid w:val="00731A01"/>
    <w:rsid w:val="00731F49"/>
    <w:rsid w:val="00732158"/>
    <w:rsid w:val="007327AC"/>
    <w:rsid w:val="007329FC"/>
    <w:rsid w:val="007330AE"/>
    <w:rsid w:val="0073311C"/>
    <w:rsid w:val="007335EA"/>
    <w:rsid w:val="007339C1"/>
    <w:rsid w:val="007340A7"/>
    <w:rsid w:val="00734419"/>
    <w:rsid w:val="0073466A"/>
    <w:rsid w:val="007346E1"/>
    <w:rsid w:val="0073490B"/>
    <w:rsid w:val="00734933"/>
    <w:rsid w:val="00734B18"/>
    <w:rsid w:val="00734F63"/>
    <w:rsid w:val="00735014"/>
    <w:rsid w:val="00735113"/>
    <w:rsid w:val="007358CA"/>
    <w:rsid w:val="00735CED"/>
    <w:rsid w:val="00736634"/>
    <w:rsid w:val="00736706"/>
    <w:rsid w:val="00736814"/>
    <w:rsid w:val="00736B9E"/>
    <w:rsid w:val="00736DF6"/>
    <w:rsid w:val="00736F1D"/>
    <w:rsid w:val="00737197"/>
    <w:rsid w:val="007379A2"/>
    <w:rsid w:val="00737A16"/>
    <w:rsid w:val="00737B91"/>
    <w:rsid w:val="00737C24"/>
    <w:rsid w:val="007400E0"/>
    <w:rsid w:val="00741582"/>
    <w:rsid w:val="0074178D"/>
    <w:rsid w:val="00741969"/>
    <w:rsid w:val="00741A5F"/>
    <w:rsid w:val="00741CA8"/>
    <w:rsid w:val="00741DFC"/>
    <w:rsid w:val="00741FFA"/>
    <w:rsid w:val="00741FFF"/>
    <w:rsid w:val="007440CE"/>
    <w:rsid w:val="007440EE"/>
    <w:rsid w:val="00744178"/>
    <w:rsid w:val="007441BC"/>
    <w:rsid w:val="007442CD"/>
    <w:rsid w:val="00744805"/>
    <w:rsid w:val="007452F6"/>
    <w:rsid w:val="0074542B"/>
    <w:rsid w:val="007454C1"/>
    <w:rsid w:val="007454CE"/>
    <w:rsid w:val="00745E9F"/>
    <w:rsid w:val="00746256"/>
    <w:rsid w:val="00746AFD"/>
    <w:rsid w:val="0074714B"/>
    <w:rsid w:val="00747C2A"/>
    <w:rsid w:val="0075000C"/>
    <w:rsid w:val="00750676"/>
    <w:rsid w:val="007508E2"/>
    <w:rsid w:val="00750962"/>
    <w:rsid w:val="00750A1F"/>
    <w:rsid w:val="00750DDF"/>
    <w:rsid w:val="00750DF2"/>
    <w:rsid w:val="00750E9E"/>
    <w:rsid w:val="00751049"/>
    <w:rsid w:val="00751106"/>
    <w:rsid w:val="0075126F"/>
    <w:rsid w:val="0075171A"/>
    <w:rsid w:val="00751D08"/>
    <w:rsid w:val="00751D8C"/>
    <w:rsid w:val="0075207C"/>
    <w:rsid w:val="0075287F"/>
    <w:rsid w:val="00752A65"/>
    <w:rsid w:val="0075359D"/>
    <w:rsid w:val="0075388F"/>
    <w:rsid w:val="00753A4D"/>
    <w:rsid w:val="00753C04"/>
    <w:rsid w:val="00754010"/>
    <w:rsid w:val="00754930"/>
    <w:rsid w:val="00754E11"/>
    <w:rsid w:val="00756761"/>
    <w:rsid w:val="00756A0A"/>
    <w:rsid w:val="00756C8E"/>
    <w:rsid w:val="00756FA7"/>
    <w:rsid w:val="00756FE9"/>
    <w:rsid w:val="007574DF"/>
    <w:rsid w:val="0076028E"/>
    <w:rsid w:val="00760425"/>
    <w:rsid w:val="007608B9"/>
    <w:rsid w:val="00760C21"/>
    <w:rsid w:val="007611B1"/>
    <w:rsid w:val="00761277"/>
    <w:rsid w:val="007614A2"/>
    <w:rsid w:val="00761510"/>
    <w:rsid w:val="00761820"/>
    <w:rsid w:val="00761B6D"/>
    <w:rsid w:val="00761BDC"/>
    <w:rsid w:val="00762198"/>
    <w:rsid w:val="007621B9"/>
    <w:rsid w:val="00762E78"/>
    <w:rsid w:val="007632AF"/>
    <w:rsid w:val="0076351D"/>
    <w:rsid w:val="00764060"/>
    <w:rsid w:val="00764A0E"/>
    <w:rsid w:val="00764AF3"/>
    <w:rsid w:val="00764C29"/>
    <w:rsid w:val="007652E8"/>
    <w:rsid w:val="0076577D"/>
    <w:rsid w:val="00765A00"/>
    <w:rsid w:val="00765C82"/>
    <w:rsid w:val="00765E0B"/>
    <w:rsid w:val="00766162"/>
    <w:rsid w:val="007665ED"/>
    <w:rsid w:val="00766F05"/>
    <w:rsid w:val="0076703F"/>
    <w:rsid w:val="00767314"/>
    <w:rsid w:val="00767F4D"/>
    <w:rsid w:val="00770401"/>
    <w:rsid w:val="007704D7"/>
    <w:rsid w:val="00770CB6"/>
    <w:rsid w:val="0077135D"/>
    <w:rsid w:val="00771582"/>
    <w:rsid w:val="007718CE"/>
    <w:rsid w:val="00771C3F"/>
    <w:rsid w:val="00771F91"/>
    <w:rsid w:val="0077211B"/>
    <w:rsid w:val="00772173"/>
    <w:rsid w:val="0077243A"/>
    <w:rsid w:val="00772E26"/>
    <w:rsid w:val="00773262"/>
    <w:rsid w:val="0077355E"/>
    <w:rsid w:val="007736F0"/>
    <w:rsid w:val="007737CA"/>
    <w:rsid w:val="00773E61"/>
    <w:rsid w:val="00774286"/>
    <w:rsid w:val="00774A4F"/>
    <w:rsid w:val="0077504D"/>
    <w:rsid w:val="00775754"/>
    <w:rsid w:val="007758BD"/>
    <w:rsid w:val="00775DDC"/>
    <w:rsid w:val="007762FC"/>
    <w:rsid w:val="00776A45"/>
    <w:rsid w:val="00776C1B"/>
    <w:rsid w:val="00776ED9"/>
    <w:rsid w:val="007775F5"/>
    <w:rsid w:val="00780647"/>
    <w:rsid w:val="007808D2"/>
    <w:rsid w:val="0078132C"/>
    <w:rsid w:val="00781956"/>
    <w:rsid w:val="00781FC1"/>
    <w:rsid w:val="00782015"/>
    <w:rsid w:val="007824AB"/>
    <w:rsid w:val="00782E14"/>
    <w:rsid w:val="0078345B"/>
    <w:rsid w:val="007838BF"/>
    <w:rsid w:val="007846C4"/>
    <w:rsid w:val="0078493F"/>
    <w:rsid w:val="00784A1C"/>
    <w:rsid w:val="00784B20"/>
    <w:rsid w:val="00784D79"/>
    <w:rsid w:val="00784EF0"/>
    <w:rsid w:val="00784F57"/>
    <w:rsid w:val="00785095"/>
    <w:rsid w:val="0078540F"/>
    <w:rsid w:val="0078546C"/>
    <w:rsid w:val="0078580B"/>
    <w:rsid w:val="00785FDF"/>
    <w:rsid w:val="00786021"/>
    <w:rsid w:val="0078610D"/>
    <w:rsid w:val="007865A1"/>
    <w:rsid w:val="007867A0"/>
    <w:rsid w:val="00786BEA"/>
    <w:rsid w:val="007873E9"/>
    <w:rsid w:val="0078796E"/>
    <w:rsid w:val="00790228"/>
    <w:rsid w:val="0079057B"/>
    <w:rsid w:val="00790CAA"/>
    <w:rsid w:val="00790D1F"/>
    <w:rsid w:val="00790DD0"/>
    <w:rsid w:val="007910CB"/>
    <w:rsid w:val="0079115D"/>
    <w:rsid w:val="0079196D"/>
    <w:rsid w:val="00791EC4"/>
    <w:rsid w:val="00792075"/>
    <w:rsid w:val="00792AA9"/>
    <w:rsid w:val="00792C7D"/>
    <w:rsid w:val="0079304E"/>
    <w:rsid w:val="0079313F"/>
    <w:rsid w:val="0079378C"/>
    <w:rsid w:val="00793F75"/>
    <w:rsid w:val="00794298"/>
    <w:rsid w:val="007947F3"/>
    <w:rsid w:val="007948CC"/>
    <w:rsid w:val="0079519B"/>
    <w:rsid w:val="0079546B"/>
    <w:rsid w:val="0079548F"/>
    <w:rsid w:val="007954FC"/>
    <w:rsid w:val="00795C33"/>
    <w:rsid w:val="007961F3"/>
    <w:rsid w:val="00796304"/>
    <w:rsid w:val="00797C09"/>
    <w:rsid w:val="00797EBC"/>
    <w:rsid w:val="007A03F9"/>
    <w:rsid w:val="007A0799"/>
    <w:rsid w:val="007A13CA"/>
    <w:rsid w:val="007A1596"/>
    <w:rsid w:val="007A15E0"/>
    <w:rsid w:val="007A24A3"/>
    <w:rsid w:val="007A26E6"/>
    <w:rsid w:val="007A2736"/>
    <w:rsid w:val="007A2A2F"/>
    <w:rsid w:val="007A35A3"/>
    <w:rsid w:val="007A4AAA"/>
    <w:rsid w:val="007A60C3"/>
    <w:rsid w:val="007A63A6"/>
    <w:rsid w:val="007A64A9"/>
    <w:rsid w:val="007A669A"/>
    <w:rsid w:val="007A686E"/>
    <w:rsid w:val="007A6E08"/>
    <w:rsid w:val="007A6E8A"/>
    <w:rsid w:val="007A769F"/>
    <w:rsid w:val="007A7A2E"/>
    <w:rsid w:val="007B0024"/>
    <w:rsid w:val="007B175D"/>
    <w:rsid w:val="007B17FC"/>
    <w:rsid w:val="007B2BA8"/>
    <w:rsid w:val="007B3222"/>
    <w:rsid w:val="007B3455"/>
    <w:rsid w:val="007B3923"/>
    <w:rsid w:val="007B3D1D"/>
    <w:rsid w:val="007B4420"/>
    <w:rsid w:val="007B5FAE"/>
    <w:rsid w:val="007B6236"/>
    <w:rsid w:val="007B64A4"/>
    <w:rsid w:val="007B6573"/>
    <w:rsid w:val="007B70D4"/>
    <w:rsid w:val="007B79CD"/>
    <w:rsid w:val="007C0560"/>
    <w:rsid w:val="007C0667"/>
    <w:rsid w:val="007C10D2"/>
    <w:rsid w:val="007C1170"/>
    <w:rsid w:val="007C20FB"/>
    <w:rsid w:val="007C240E"/>
    <w:rsid w:val="007C2AFF"/>
    <w:rsid w:val="007C2FE1"/>
    <w:rsid w:val="007C33C1"/>
    <w:rsid w:val="007C3D6F"/>
    <w:rsid w:val="007C3F89"/>
    <w:rsid w:val="007C4146"/>
    <w:rsid w:val="007C43FD"/>
    <w:rsid w:val="007C4A42"/>
    <w:rsid w:val="007C4BA4"/>
    <w:rsid w:val="007C4E65"/>
    <w:rsid w:val="007C538C"/>
    <w:rsid w:val="007C5813"/>
    <w:rsid w:val="007C5DCC"/>
    <w:rsid w:val="007C601E"/>
    <w:rsid w:val="007C64B4"/>
    <w:rsid w:val="007C6C12"/>
    <w:rsid w:val="007C72F1"/>
    <w:rsid w:val="007C73BB"/>
    <w:rsid w:val="007C7BAE"/>
    <w:rsid w:val="007C7BC4"/>
    <w:rsid w:val="007D05D6"/>
    <w:rsid w:val="007D1B44"/>
    <w:rsid w:val="007D1EB2"/>
    <w:rsid w:val="007D1FFC"/>
    <w:rsid w:val="007D400A"/>
    <w:rsid w:val="007D4407"/>
    <w:rsid w:val="007D47B5"/>
    <w:rsid w:val="007D4B49"/>
    <w:rsid w:val="007D4C7B"/>
    <w:rsid w:val="007D5250"/>
    <w:rsid w:val="007D56EC"/>
    <w:rsid w:val="007D590C"/>
    <w:rsid w:val="007D5B17"/>
    <w:rsid w:val="007D5D6B"/>
    <w:rsid w:val="007D645C"/>
    <w:rsid w:val="007D6798"/>
    <w:rsid w:val="007D6A03"/>
    <w:rsid w:val="007D6DD5"/>
    <w:rsid w:val="007D71B6"/>
    <w:rsid w:val="007D7457"/>
    <w:rsid w:val="007D7D53"/>
    <w:rsid w:val="007E02C8"/>
    <w:rsid w:val="007E0A5D"/>
    <w:rsid w:val="007E0A78"/>
    <w:rsid w:val="007E0C97"/>
    <w:rsid w:val="007E0CED"/>
    <w:rsid w:val="007E1863"/>
    <w:rsid w:val="007E1978"/>
    <w:rsid w:val="007E1C6A"/>
    <w:rsid w:val="007E2448"/>
    <w:rsid w:val="007E2AFD"/>
    <w:rsid w:val="007E2DCD"/>
    <w:rsid w:val="007E38EA"/>
    <w:rsid w:val="007E48BE"/>
    <w:rsid w:val="007E49F2"/>
    <w:rsid w:val="007E5697"/>
    <w:rsid w:val="007E5F3C"/>
    <w:rsid w:val="007E5F58"/>
    <w:rsid w:val="007E6984"/>
    <w:rsid w:val="007E6AAD"/>
    <w:rsid w:val="007E6BA1"/>
    <w:rsid w:val="007E6F58"/>
    <w:rsid w:val="007E7351"/>
    <w:rsid w:val="007F0C84"/>
    <w:rsid w:val="007F1525"/>
    <w:rsid w:val="007F1570"/>
    <w:rsid w:val="007F2313"/>
    <w:rsid w:val="007F240E"/>
    <w:rsid w:val="007F25D0"/>
    <w:rsid w:val="007F2BCA"/>
    <w:rsid w:val="007F2D35"/>
    <w:rsid w:val="007F3266"/>
    <w:rsid w:val="007F33F7"/>
    <w:rsid w:val="007F349D"/>
    <w:rsid w:val="007F34B3"/>
    <w:rsid w:val="007F3DFF"/>
    <w:rsid w:val="007F3F2A"/>
    <w:rsid w:val="007F4556"/>
    <w:rsid w:val="007F46B8"/>
    <w:rsid w:val="007F4736"/>
    <w:rsid w:val="007F48BB"/>
    <w:rsid w:val="007F49AB"/>
    <w:rsid w:val="007F4E4D"/>
    <w:rsid w:val="007F4F0D"/>
    <w:rsid w:val="007F5BD3"/>
    <w:rsid w:val="007F5D9B"/>
    <w:rsid w:val="007F64FB"/>
    <w:rsid w:val="007F7177"/>
    <w:rsid w:val="007F7350"/>
    <w:rsid w:val="007F7981"/>
    <w:rsid w:val="007F7E02"/>
    <w:rsid w:val="008001AC"/>
    <w:rsid w:val="00800A15"/>
    <w:rsid w:val="00800E67"/>
    <w:rsid w:val="0080110B"/>
    <w:rsid w:val="008011AC"/>
    <w:rsid w:val="008013AE"/>
    <w:rsid w:val="008014AE"/>
    <w:rsid w:val="008028AB"/>
    <w:rsid w:val="00802910"/>
    <w:rsid w:val="00802CBE"/>
    <w:rsid w:val="00803CAD"/>
    <w:rsid w:val="00804210"/>
    <w:rsid w:val="00804253"/>
    <w:rsid w:val="008054E5"/>
    <w:rsid w:val="00805E9C"/>
    <w:rsid w:val="00805F0F"/>
    <w:rsid w:val="008062EC"/>
    <w:rsid w:val="00806300"/>
    <w:rsid w:val="00806505"/>
    <w:rsid w:val="00806C27"/>
    <w:rsid w:val="00806D0C"/>
    <w:rsid w:val="008078DC"/>
    <w:rsid w:val="00810EAA"/>
    <w:rsid w:val="0081150F"/>
    <w:rsid w:val="00811D05"/>
    <w:rsid w:val="00812852"/>
    <w:rsid w:val="0081298E"/>
    <w:rsid w:val="00812D05"/>
    <w:rsid w:val="008130D5"/>
    <w:rsid w:val="008133B1"/>
    <w:rsid w:val="0081343B"/>
    <w:rsid w:val="00813484"/>
    <w:rsid w:val="008134DB"/>
    <w:rsid w:val="00813617"/>
    <w:rsid w:val="00813ADF"/>
    <w:rsid w:val="00813C12"/>
    <w:rsid w:val="00813E33"/>
    <w:rsid w:val="00813FD2"/>
    <w:rsid w:val="008140A0"/>
    <w:rsid w:val="00814210"/>
    <w:rsid w:val="008144A2"/>
    <w:rsid w:val="008144C3"/>
    <w:rsid w:val="008146E7"/>
    <w:rsid w:val="00815626"/>
    <w:rsid w:val="00816C4E"/>
    <w:rsid w:val="00816C99"/>
    <w:rsid w:val="00816ED3"/>
    <w:rsid w:val="00817F9F"/>
    <w:rsid w:val="0081BB63"/>
    <w:rsid w:val="008201DA"/>
    <w:rsid w:val="00820D25"/>
    <w:rsid w:val="00821BDA"/>
    <w:rsid w:val="008222B0"/>
    <w:rsid w:val="008222FC"/>
    <w:rsid w:val="008223C0"/>
    <w:rsid w:val="00822C59"/>
    <w:rsid w:val="00823199"/>
    <w:rsid w:val="00823BF5"/>
    <w:rsid w:val="00823CEE"/>
    <w:rsid w:val="0082523E"/>
    <w:rsid w:val="008254B5"/>
    <w:rsid w:val="00825667"/>
    <w:rsid w:val="00825E61"/>
    <w:rsid w:val="00826214"/>
    <w:rsid w:val="0082660D"/>
    <w:rsid w:val="00826819"/>
    <w:rsid w:val="008268F3"/>
    <w:rsid w:val="00827A7A"/>
    <w:rsid w:val="00827B58"/>
    <w:rsid w:val="00827D84"/>
    <w:rsid w:val="00827DF7"/>
    <w:rsid w:val="00830344"/>
    <w:rsid w:val="008306B5"/>
    <w:rsid w:val="00830EE7"/>
    <w:rsid w:val="008310FC"/>
    <w:rsid w:val="00831BE6"/>
    <w:rsid w:val="00831D39"/>
    <w:rsid w:val="00831F5C"/>
    <w:rsid w:val="00832C80"/>
    <w:rsid w:val="008331A7"/>
    <w:rsid w:val="008333E9"/>
    <w:rsid w:val="008333EA"/>
    <w:rsid w:val="0083342E"/>
    <w:rsid w:val="0083343E"/>
    <w:rsid w:val="0083386F"/>
    <w:rsid w:val="00833A4C"/>
    <w:rsid w:val="008343EC"/>
    <w:rsid w:val="00834489"/>
    <w:rsid w:val="008348BB"/>
    <w:rsid w:val="00834B4D"/>
    <w:rsid w:val="0083592C"/>
    <w:rsid w:val="00835964"/>
    <w:rsid w:val="00835CD4"/>
    <w:rsid w:val="00836A34"/>
    <w:rsid w:val="00836A72"/>
    <w:rsid w:val="00837D02"/>
    <w:rsid w:val="0084049E"/>
    <w:rsid w:val="00841060"/>
    <w:rsid w:val="00841089"/>
    <w:rsid w:val="00841996"/>
    <w:rsid w:val="00841C97"/>
    <w:rsid w:val="0084245B"/>
    <w:rsid w:val="00842496"/>
    <w:rsid w:val="00842896"/>
    <w:rsid w:val="00842B0F"/>
    <w:rsid w:val="00842C25"/>
    <w:rsid w:val="00842FDC"/>
    <w:rsid w:val="00843F71"/>
    <w:rsid w:val="00844227"/>
    <w:rsid w:val="0084460F"/>
    <w:rsid w:val="00845121"/>
    <w:rsid w:val="00845CB8"/>
    <w:rsid w:val="00845F44"/>
    <w:rsid w:val="00846170"/>
    <w:rsid w:val="008463A9"/>
    <w:rsid w:val="008468C8"/>
    <w:rsid w:val="00846C49"/>
    <w:rsid w:val="00847059"/>
    <w:rsid w:val="00850117"/>
    <w:rsid w:val="0085013E"/>
    <w:rsid w:val="00850318"/>
    <w:rsid w:val="00850552"/>
    <w:rsid w:val="00850F93"/>
    <w:rsid w:val="008521DF"/>
    <w:rsid w:val="00852B7A"/>
    <w:rsid w:val="0085355F"/>
    <w:rsid w:val="00853E61"/>
    <w:rsid w:val="00853FC9"/>
    <w:rsid w:val="0085408E"/>
    <w:rsid w:val="00854175"/>
    <w:rsid w:val="00854444"/>
    <w:rsid w:val="00854776"/>
    <w:rsid w:val="00854914"/>
    <w:rsid w:val="00854BB9"/>
    <w:rsid w:val="00855165"/>
    <w:rsid w:val="0085536C"/>
    <w:rsid w:val="008564B2"/>
    <w:rsid w:val="008565EF"/>
    <w:rsid w:val="008570A1"/>
    <w:rsid w:val="00857B2A"/>
    <w:rsid w:val="00857B79"/>
    <w:rsid w:val="00857E92"/>
    <w:rsid w:val="00857EFE"/>
    <w:rsid w:val="008600BB"/>
    <w:rsid w:val="00860989"/>
    <w:rsid w:val="00860CED"/>
    <w:rsid w:val="0086111A"/>
    <w:rsid w:val="0086193A"/>
    <w:rsid w:val="00862846"/>
    <w:rsid w:val="0086297A"/>
    <w:rsid w:val="008629C1"/>
    <w:rsid w:val="008631B7"/>
    <w:rsid w:val="0086376F"/>
    <w:rsid w:val="00863E08"/>
    <w:rsid w:val="00864DEB"/>
    <w:rsid w:val="00864E46"/>
    <w:rsid w:val="00864F9C"/>
    <w:rsid w:val="00864FC5"/>
    <w:rsid w:val="00865A6E"/>
    <w:rsid w:val="00865A9B"/>
    <w:rsid w:val="0086623C"/>
    <w:rsid w:val="008669C4"/>
    <w:rsid w:val="00866FD4"/>
    <w:rsid w:val="0086733F"/>
    <w:rsid w:val="0086745F"/>
    <w:rsid w:val="00867ABC"/>
    <w:rsid w:val="00867F07"/>
    <w:rsid w:val="0087033A"/>
    <w:rsid w:val="00870924"/>
    <w:rsid w:val="008718DF"/>
    <w:rsid w:val="00872519"/>
    <w:rsid w:val="008727E0"/>
    <w:rsid w:val="00872EC5"/>
    <w:rsid w:val="008733A5"/>
    <w:rsid w:val="00873E44"/>
    <w:rsid w:val="00873F86"/>
    <w:rsid w:val="0087428C"/>
    <w:rsid w:val="008743C7"/>
    <w:rsid w:val="00875065"/>
    <w:rsid w:val="008753A4"/>
    <w:rsid w:val="008758E4"/>
    <w:rsid w:val="00875D79"/>
    <w:rsid w:val="00875DF8"/>
    <w:rsid w:val="008761EA"/>
    <w:rsid w:val="00876866"/>
    <w:rsid w:val="008768A9"/>
    <w:rsid w:val="00876CFD"/>
    <w:rsid w:val="00876D5E"/>
    <w:rsid w:val="00876D8B"/>
    <w:rsid w:val="00876FB1"/>
    <w:rsid w:val="00877DA5"/>
    <w:rsid w:val="00880370"/>
    <w:rsid w:val="008803D5"/>
    <w:rsid w:val="008804D3"/>
    <w:rsid w:val="00880D3C"/>
    <w:rsid w:val="00880F5E"/>
    <w:rsid w:val="008822DC"/>
    <w:rsid w:val="008827CD"/>
    <w:rsid w:val="00882D43"/>
    <w:rsid w:val="00882E18"/>
    <w:rsid w:val="00882F19"/>
    <w:rsid w:val="0088301F"/>
    <w:rsid w:val="0088331C"/>
    <w:rsid w:val="0088364E"/>
    <w:rsid w:val="008836C9"/>
    <w:rsid w:val="0088386A"/>
    <w:rsid w:val="00883E9D"/>
    <w:rsid w:val="0088446E"/>
    <w:rsid w:val="0088449F"/>
    <w:rsid w:val="0088475A"/>
    <w:rsid w:val="00884F05"/>
    <w:rsid w:val="00885898"/>
    <w:rsid w:val="0088664F"/>
    <w:rsid w:val="00886A7B"/>
    <w:rsid w:val="008871D6"/>
    <w:rsid w:val="0088737D"/>
    <w:rsid w:val="00887549"/>
    <w:rsid w:val="00887B6B"/>
    <w:rsid w:val="00890A8B"/>
    <w:rsid w:val="008911FE"/>
    <w:rsid w:val="00891626"/>
    <w:rsid w:val="00891DED"/>
    <w:rsid w:val="008921D1"/>
    <w:rsid w:val="00892756"/>
    <w:rsid w:val="0089280F"/>
    <w:rsid w:val="00892F19"/>
    <w:rsid w:val="00893349"/>
    <w:rsid w:val="00893726"/>
    <w:rsid w:val="00893747"/>
    <w:rsid w:val="00893877"/>
    <w:rsid w:val="00893B0C"/>
    <w:rsid w:val="00893C11"/>
    <w:rsid w:val="008947BD"/>
    <w:rsid w:val="00894E2F"/>
    <w:rsid w:val="00894F9C"/>
    <w:rsid w:val="0089538A"/>
    <w:rsid w:val="008954DC"/>
    <w:rsid w:val="008959BF"/>
    <w:rsid w:val="00896828"/>
    <w:rsid w:val="00896EF2"/>
    <w:rsid w:val="00897B21"/>
    <w:rsid w:val="00897E32"/>
    <w:rsid w:val="00897F6F"/>
    <w:rsid w:val="008A00EF"/>
    <w:rsid w:val="008A04AC"/>
    <w:rsid w:val="008A05DB"/>
    <w:rsid w:val="008A0967"/>
    <w:rsid w:val="008A0D20"/>
    <w:rsid w:val="008A0D57"/>
    <w:rsid w:val="008A0F48"/>
    <w:rsid w:val="008A10E8"/>
    <w:rsid w:val="008A133C"/>
    <w:rsid w:val="008A19F7"/>
    <w:rsid w:val="008A1C55"/>
    <w:rsid w:val="008A216D"/>
    <w:rsid w:val="008A2278"/>
    <w:rsid w:val="008A2620"/>
    <w:rsid w:val="008A264A"/>
    <w:rsid w:val="008A29FE"/>
    <w:rsid w:val="008A35C4"/>
    <w:rsid w:val="008A3773"/>
    <w:rsid w:val="008A37F8"/>
    <w:rsid w:val="008A40AD"/>
    <w:rsid w:val="008A459E"/>
    <w:rsid w:val="008A4841"/>
    <w:rsid w:val="008A4E4C"/>
    <w:rsid w:val="008A5078"/>
    <w:rsid w:val="008A51B1"/>
    <w:rsid w:val="008A51F3"/>
    <w:rsid w:val="008A5392"/>
    <w:rsid w:val="008A5D03"/>
    <w:rsid w:val="008A5E5D"/>
    <w:rsid w:val="008A63F3"/>
    <w:rsid w:val="008A7386"/>
    <w:rsid w:val="008A74B3"/>
    <w:rsid w:val="008A75A0"/>
    <w:rsid w:val="008A77AE"/>
    <w:rsid w:val="008A78D0"/>
    <w:rsid w:val="008A7953"/>
    <w:rsid w:val="008AB2CA"/>
    <w:rsid w:val="008B06A4"/>
    <w:rsid w:val="008B072C"/>
    <w:rsid w:val="008B0933"/>
    <w:rsid w:val="008B0C7C"/>
    <w:rsid w:val="008B1186"/>
    <w:rsid w:val="008B135E"/>
    <w:rsid w:val="008B1377"/>
    <w:rsid w:val="008B1477"/>
    <w:rsid w:val="008B1532"/>
    <w:rsid w:val="008B1563"/>
    <w:rsid w:val="008B18DF"/>
    <w:rsid w:val="008B1F81"/>
    <w:rsid w:val="008B1FF2"/>
    <w:rsid w:val="008B21D3"/>
    <w:rsid w:val="008B26C7"/>
    <w:rsid w:val="008B347F"/>
    <w:rsid w:val="008B37C5"/>
    <w:rsid w:val="008B3DFA"/>
    <w:rsid w:val="008B45EB"/>
    <w:rsid w:val="008B4CB0"/>
    <w:rsid w:val="008B4D69"/>
    <w:rsid w:val="008B5083"/>
    <w:rsid w:val="008B5145"/>
    <w:rsid w:val="008B5D47"/>
    <w:rsid w:val="008B5DB2"/>
    <w:rsid w:val="008B5FB5"/>
    <w:rsid w:val="008B6634"/>
    <w:rsid w:val="008B710C"/>
    <w:rsid w:val="008B7AC5"/>
    <w:rsid w:val="008C038C"/>
    <w:rsid w:val="008C0426"/>
    <w:rsid w:val="008C1318"/>
    <w:rsid w:val="008C150F"/>
    <w:rsid w:val="008C1EAD"/>
    <w:rsid w:val="008C231C"/>
    <w:rsid w:val="008C2758"/>
    <w:rsid w:val="008C2A8C"/>
    <w:rsid w:val="008C2D9D"/>
    <w:rsid w:val="008C3607"/>
    <w:rsid w:val="008C385E"/>
    <w:rsid w:val="008C3875"/>
    <w:rsid w:val="008C38EA"/>
    <w:rsid w:val="008C3CE3"/>
    <w:rsid w:val="008C41A3"/>
    <w:rsid w:val="008C427A"/>
    <w:rsid w:val="008C429B"/>
    <w:rsid w:val="008C4B9A"/>
    <w:rsid w:val="008C4CD4"/>
    <w:rsid w:val="008C4FC7"/>
    <w:rsid w:val="008C5502"/>
    <w:rsid w:val="008C5679"/>
    <w:rsid w:val="008C59EB"/>
    <w:rsid w:val="008C5D73"/>
    <w:rsid w:val="008C62BC"/>
    <w:rsid w:val="008C63D7"/>
    <w:rsid w:val="008C68A6"/>
    <w:rsid w:val="008C6C9D"/>
    <w:rsid w:val="008C6D7D"/>
    <w:rsid w:val="008C6FB6"/>
    <w:rsid w:val="008C7EAC"/>
    <w:rsid w:val="008D08F2"/>
    <w:rsid w:val="008D0CAC"/>
    <w:rsid w:val="008D1567"/>
    <w:rsid w:val="008D176E"/>
    <w:rsid w:val="008D1950"/>
    <w:rsid w:val="008D1960"/>
    <w:rsid w:val="008D1A4B"/>
    <w:rsid w:val="008D2142"/>
    <w:rsid w:val="008D28EE"/>
    <w:rsid w:val="008D2C92"/>
    <w:rsid w:val="008D2D24"/>
    <w:rsid w:val="008D3011"/>
    <w:rsid w:val="008D33C2"/>
    <w:rsid w:val="008D3597"/>
    <w:rsid w:val="008D3A69"/>
    <w:rsid w:val="008D3D50"/>
    <w:rsid w:val="008D4C3B"/>
    <w:rsid w:val="008D5EAD"/>
    <w:rsid w:val="008D71B7"/>
    <w:rsid w:val="008D772A"/>
    <w:rsid w:val="008D772F"/>
    <w:rsid w:val="008E0564"/>
    <w:rsid w:val="008E1240"/>
    <w:rsid w:val="008E12CC"/>
    <w:rsid w:val="008E186C"/>
    <w:rsid w:val="008E1A42"/>
    <w:rsid w:val="008E1BD5"/>
    <w:rsid w:val="008E1C2B"/>
    <w:rsid w:val="008E1EB2"/>
    <w:rsid w:val="008E211C"/>
    <w:rsid w:val="008E243F"/>
    <w:rsid w:val="008E2B50"/>
    <w:rsid w:val="008E397E"/>
    <w:rsid w:val="008E3BDA"/>
    <w:rsid w:val="008E3DE8"/>
    <w:rsid w:val="008E40EB"/>
    <w:rsid w:val="008E48C0"/>
    <w:rsid w:val="008E4D85"/>
    <w:rsid w:val="008E4DBC"/>
    <w:rsid w:val="008E51A5"/>
    <w:rsid w:val="008E5451"/>
    <w:rsid w:val="008E5AC9"/>
    <w:rsid w:val="008E635F"/>
    <w:rsid w:val="008E6BAB"/>
    <w:rsid w:val="008E6F9A"/>
    <w:rsid w:val="008E7C9D"/>
    <w:rsid w:val="008F02FE"/>
    <w:rsid w:val="008F053F"/>
    <w:rsid w:val="008F0704"/>
    <w:rsid w:val="008F07D4"/>
    <w:rsid w:val="008F1277"/>
    <w:rsid w:val="008F19D8"/>
    <w:rsid w:val="008F1A0A"/>
    <w:rsid w:val="008F1BA1"/>
    <w:rsid w:val="008F1E6E"/>
    <w:rsid w:val="008F22F0"/>
    <w:rsid w:val="008F2516"/>
    <w:rsid w:val="008F2832"/>
    <w:rsid w:val="008F2B83"/>
    <w:rsid w:val="008F2FA3"/>
    <w:rsid w:val="008F30DB"/>
    <w:rsid w:val="008F41EB"/>
    <w:rsid w:val="008F42BF"/>
    <w:rsid w:val="008F449D"/>
    <w:rsid w:val="008F4E13"/>
    <w:rsid w:val="008F4EBB"/>
    <w:rsid w:val="008F5023"/>
    <w:rsid w:val="008F5797"/>
    <w:rsid w:val="008F5852"/>
    <w:rsid w:val="008F59AF"/>
    <w:rsid w:val="008F59C3"/>
    <w:rsid w:val="008F60AB"/>
    <w:rsid w:val="008F6168"/>
    <w:rsid w:val="008F648F"/>
    <w:rsid w:val="008F6514"/>
    <w:rsid w:val="008F69C4"/>
    <w:rsid w:val="008F6FEA"/>
    <w:rsid w:val="008F726A"/>
    <w:rsid w:val="008F72D8"/>
    <w:rsid w:val="008F7445"/>
    <w:rsid w:val="008F744F"/>
    <w:rsid w:val="0090039A"/>
    <w:rsid w:val="00901B71"/>
    <w:rsid w:val="00901FFB"/>
    <w:rsid w:val="00902CD9"/>
    <w:rsid w:val="009034E8"/>
    <w:rsid w:val="00903729"/>
    <w:rsid w:val="00903B95"/>
    <w:rsid w:val="00903C3C"/>
    <w:rsid w:val="00903FD4"/>
    <w:rsid w:val="00905027"/>
    <w:rsid w:val="0090532F"/>
    <w:rsid w:val="00905BC6"/>
    <w:rsid w:val="009063C3"/>
    <w:rsid w:val="0090642B"/>
    <w:rsid w:val="00906CBE"/>
    <w:rsid w:val="00907560"/>
    <w:rsid w:val="009075D8"/>
    <w:rsid w:val="00907666"/>
    <w:rsid w:val="009076AB"/>
    <w:rsid w:val="00907B76"/>
    <w:rsid w:val="00907F9B"/>
    <w:rsid w:val="009100BE"/>
    <w:rsid w:val="009103E9"/>
    <w:rsid w:val="00910468"/>
    <w:rsid w:val="00910A32"/>
    <w:rsid w:val="009116D5"/>
    <w:rsid w:val="00911BE7"/>
    <w:rsid w:val="00911CA6"/>
    <w:rsid w:val="009134C5"/>
    <w:rsid w:val="00913615"/>
    <w:rsid w:val="00913BD9"/>
    <w:rsid w:val="00914145"/>
    <w:rsid w:val="00914517"/>
    <w:rsid w:val="009147BC"/>
    <w:rsid w:val="00914963"/>
    <w:rsid w:val="00915AEF"/>
    <w:rsid w:val="00915CEE"/>
    <w:rsid w:val="00916925"/>
    <w:rsid w:val="00916ABB"/>
    <w:rsid w:val="00916DB1"/>
    <w:rsid w:val="00916DC5"/>
    <w:rsid w:val="00916EE4"/>
    <w:rsid w:val="00917924"/>
    <w:rsid w:val="00917D34"/>
    <w:rsid w:val="00917EC5"/>
    <w:rsid w:val="00920329"/>
    <w:rsid w:val="00920370"/>
    <w:rsid w:val="009205E4"/>
    <w:rsid w:val="00920D74"/>
    <w:rsid w:val="00920E0C"/>
    <w:rsid w:val="00921397"/>
    <w:rsid w:val="009215C0"/>
    <w:rsid w:val="0092194C"/>
    <w:rsid w:val="00921BB7"/>
    <w:rsid w:val="00921F37"/>
    <w:rsid w:val="0092217A"/>
    <w:rsid w:val="009221D1"/>
    <w:rsid w:val="0092291D"/>
    <w:rsid w:val="00922A3D"/>
    <w:rsid w:val="00922A77"/>
    <w:rsid w:val="00922C7B"/>
    <w:rsid w:val="00923931"/>
    <w:rsid w:val="00923BA8"/>
    <w:rsid w:val="00923C60"/>
    <w:rsid w:val="0092412B"/>
    <w:rsid w:val="009241BB"/>
    <w:rsid w:val="009257EC"/>
    <w:rsid w:val="009258C8"/>
    <w:rsid w:val="00925AEE"/>
    <w:rsid w:val="00925AF1"/>
    <w:rsid w:val="00925C43"/>
    <w:rsid w:val="00926984"/>
    <w:rsid w:val="00926D40"/>
    <w:rsid w:val="00926F28"/>
    <w:rsid w:val="00926F8B"/>
    <w:rsid w:val="00927014"/>
    <w:rsid w:val="009276FE"/>
    <w:rsid w:val="00927799"/>
    <w:rsid w:val="00927B49"/>
    <w:rsid w:val="00927F59"/>
    <w:rsid w:val="00931433"/>
    <w:rsid w:val="009316B6"/>
    <w:rsid w:val="009317FF"/>
    <w:rsid w:val="00932125"/>
    <w:rsid w:val="009321F2"/>
    <w:rsid w:val="00932269"/>
    <w:rsid w:val="009322E5"/>
    <w:rsid w:val="009325C3"/>
    <w:rsid w:val="009328EE"/>
    <w:rsid w:val="00932AAA"/>
    <w:rsid w:val="009330C1"/>
    <w:rsid w:val="009339FF"/>
    <w:rsid w:val="00933FD6"/>
    <w:rsid w:val="00934981"/>
    <w:rsid w:val="00934998"/>
    <w:rsid w:val="00935219"/>
    <w:rsid w:val="0093524E"/>
    <w:rsid w:val="00935747"/>
    <w:rsid w:val="00935758"/>
    <w:rsid w:val="009368A2"/>
    <w:rsid w:val="00936D81"/>
    <w:rsid w:val="00937EC5"/>
    <w:rsid w:val="00937FF7"/>
    <w:rsid w:val="00940048"/>
    <w:rsid w:val="00940308"/>
    <w:rsid w:val="00940558"/>
    <w:rsid w:val="00941583"/>
    <w:rsid w:val="0094180D"/>
    <w:rsid w:val="00941E96"/>
    <w:rsid w:val="009422DF"/>
    <w:rsid w:val="009426AF"/>
    <w:rsid w:val="00942945"/>
    <w:rsid w:val="00942AA1"/>
    <w:rsid w:val="00943152"/>
    <w:rsid w:val="00943731"/>
    <w:rsid w:val="009437D1"/>
    <w:rsid w:val="0094398B"/>
    <w:rsid w:val="00944DF9"/>
    <w:rsid w:val="00945983"/>
    <w:rsid w:val="009468D1"/>
    <w:rsid w:val="009471E7"/>
    <w:rsid w:val="0094725B"/>
    <w:rsid w:val="009477C3"/>
    <w:rsid w:val="009507F1"/>
    <w:rsid w:val="00950D82"/>
    <w:rsid w:val="00951155"/>
    <w:rsid w:val="00951548"/>
    <w:rsid w:val="00951906"/>
    <w:rsid w:val="009519F6"/>
    <w:rsid w:val="009524AA"/>
    <w:rsid w:val="00952531"/>
    <w:rsid w:val="009528A9"/>
    <w:rsid w:val="00952907"/>
    <w:rsid w:val="00952EBB"/>
    <w:rsid w:val="009533C8"/>
    <w:rsid w:val="009534EA"/>
    <w:rsid w:val="0095353E"/>
    <w:rsid w:val="009536AC"/>
    <w:rsid w:val="00953718"/>
    <w:rsid w:val="009537D0"/>
    <w:rsid w:val="00953900"/>
    <w:rsid w:val="00953C5C"/>
    <w:rsid w:val="00954744"/>
    <w:rsid w:val="0095481A"/>
    <w:rsid w:val="0095520B"/>
    <w:rsid w:val="00955284"/>
    <w:rsid w:val="00955AEB"/>
    <w:rsid w:val="00955B31"/>
    <w:rsid w:val="00956698"/>
    <w:rsid w:val="00956A02"/>
    <w:rsid w:val="00956BCE"/>
    <w:rsid w:val="00956CDF"/>
    <w:rsid w:val="00957259"/>
    <w:rsid w:val="009578CF"/>
    <w:rsid w:val="009605DA"/>
    <w:rsid w:val="0096137F"/>
    <w:rsid w:val="00961802"/>
    <w:rsid w:val="0096210E"/>
    <w:rsid w:val="009628EE"/>
    <w:rsid w:val="009634C2"/>
    <w:rsid w:val="009635DC"/>
    <w:rsid w:val="00963B50"/>
    <w:rsid w:val="00963FD5"/>
    <w:rsid w:val="00964175"/>
    <w:rsid w:val="0096441E"/>
    <w:rsid w:val="0096480A"/>
    <w:rsid w:val="00964A0B"/>
    <w:rsid w:val="0096524B"/>
    <w:rsid w:val="009653B1"/>
    <w:rsid w:val="009653EC"/>
    <w:rsid w:val="0096542D"/>
    <w:rsid w:val="009659D5"/>
    <w:rsid w:val="00965C04"/>
    <w:rsid w:val="00965E76"/>
    <w:rsid w:val="009662ED"/>
    <w:rsid w:val="0096650C"/>
    <w:rsid w:val="009667D6"/>
    <w:rsid w:val="00967003"/>
    <w:rsid w:val="00967AE4"/>
    <w:rsid w:val="00967FB8"/>
    <w:rsid w:val="009701FB"/>
    <w:rsid w:val="009704B0"/>
    <w:rsid w:val="009713C2"/>
    <w:rsid w:val="00971465"/>
    <w:rsid w:val="0097185D"/>
    <w:rsid w:val="00971973"/>
    <w:rsid w:val="009720B6"/>
    <w:rsid w:val="00972763"/>
    <w:rsid w:val="00972D27"/>
    <w:rsid w:val="00972E44"/>
    <w:rsid w:val="00973804"/>
    <w:rsid w:val="009739DE"/>
    <w:rsid w:val="009746F5"/>
    <w:rsid w:val="009749B7"/>
    <w:rsid w:val="00974DC8"/>
    <w:rsid w:val="00975017"/>
    <w:rsid w:val="00975412"/>
    <w:rsid w:val="0097553A"/>
    <w:rsid w:val="00975B5A"/>
    <w:rsid w:val="00976185"/>
    <w:rsid w:val="00976522"/>
    <w:rsid w:val="00976D2B"/>
    <w:rsid w:val="00977123"/>
    <w:rsid w:val="0097791F"/>
    <w:rsid w:val="00977B46"/>
    <w:rsid w:val="00977C94"/>
    <w:rsid w:val="00977EC9"/>
    <w:rsid w:val="00980307"/>
    <w:rsid w:val="00980379"/>
    <w:rsid w:val="009807E7"/>
    <w:rsid w:val="009815A9"/>
    <w:rsid w:val="009817AE"/>
    <w:rsid w:val="00981A3F"/>
    <w:rsid w:val="00981BA1"/>
    <w:rsid w:val="00981CAA"/>
    <w:rsid w:val="00982D80"/>
    <w:rsid w:val="009834DF"/>
    <w:rsid w:val="009838A3"/>
    <w:rsid w:val="009838DA"/>
    <w:rsid w:val="00983AA1"/>
    <w:rsid w:val="00983B74"/>
    <w:rsid w:val="00983ED7"/>
    <w:rsid w:val="009842AB"/>
    <w:rsid w:val="0098485B"/>
    <w:rsid w:val="00984D7A"/>
    <w:rsid w:val="00984E52"/>
    <w:rsid w:val="00984E78"/>
    <w:rsid w:val="00985011"/>
    <w:rsid w:val="009853CF"/>
    <w:rsid w:val="00985591"/>
    <w:rsid w:val="00985695"/>
    <w:rsid w:val="0098593D"/>
    <w:rsid w:val="00985B43"/>
    <w:rsid w:val="00985E5E"/>
    <w:rsid w:val="009860A9"/>
    <w:rsid w:val="00986227"/>
    <w:rsid w:val="009866EF"/>
    <w:rsid w:val="009867B7"/>
    <w:rsid w:val="009869A9"/>
    <w:rsid w:val="0098704D"/>
    <w:rsid w:val="009877D4"/>
    <w:rsid w:val="00987A01"/>
    <w:rsid w:val="009902F4"/>
    <w:rsid w:val="00990598"/>
    <w:rsid w:val="0099065E"/>
    <w:rsid w:val="009907CC"/>
    <w:rsid w:val="00990BFA"/>
    <w:rsid w:val="0099169B"/>
    <w:rsid w:val="00991AA1"/>
    <w:rsid w:val="00991AC5"/>
    <w:rsid w:val="00991E8A"/>
    <w:rsid w:val="00992499"/>
    <w:rsid w:val="00992536"/>
    <w:rsid w:val="00992927"/>
    <w:rsid w:val="0099295F"/>
    <w:rsid w:val="00992ABA"/>
    <w:rsid w:val="00992D9E"/>
    <w:rsid w:val="0099378F"/>
    <w:rsid w:val="00993AAF"/>
    <w:rsid w:val="009943D6"/>
    <w:rsid w:val="009953F6"/>
    <w:rsid w:val="00995F5F"/>
    <w:rsid w:val="00996A53"/>
    <w:rsid w:val="00997521"/>
    <w:rsid w:val="00997D43"/>
    <w:rsid w:val="009A01DD"/>
    <w:rsid w:val="009A024E"/>
    <w:rsid w:val="009A045C"/>
    <w:rsid w:val="009A04A6"/>
    <w:rsid w:val="009A1E13"/>
    <w:rsid w:val="009A24ED"/>
    <w:rsid w:val="009A2602"/>
    <w:rsid w:val="009A26D6"/>
    <w:rsid w:val="009A26F5"/>
    <w:rsid w:val="009A2D55"/>
    <w:rsid w:val="009A313C"/>
    <w:rsid w:val="009A3371"/>
    <w:rsid w:val="009A3488"/>
    <w:rsid w:val="009A36E5"/>
    <w:rsid w:val="009A3B76"/>
    <w:rsid w:val="009A443F"/>
    <w:rsid w:val="009A479F"/>
    <w:rsid w:val="009A4C60"/>
    <w:rsid w:val="009A4F83"/>
    <w:rsid w:val="009A5598"/>
    <w:rsid w:val="009A56B5"/>
    <w:rsid w:val="009A668E"/>
    <w:rsid w:val="009A6725"/>
    <w:rsid w:val="009A6DC1"/>
    <w:rsid w:val="009A705C"/>
    <w:rsid w:val="009A70D9"/>
    <w:rsid w:val="009A7FAA"/>
    <w:rsid w:val="009B0DEF"/>
    <w:rsid w:val="009B0F04"/>
    <w:rsid w:val="009B1812"/>
    <w:rsid w:val="009B1D37"/>
    <w:rsid w:val="009B2DC6"/>
    <w:rsid w:val="009B2EDD"/>
    <w:rsid w:val="009B30F2"/>
    <w:rsid w:val="009B3866"/>
    <w:rsid w:val="009B3E9D"/>
    <w:rsid w:val="009B3F59"/>
    <w:rsid w:val="009B4089"/>
    <w:rsid w:val="009B4375"/>
    <w:rsid w:val="009B4765"/>
    <w:rsid w:val="009B48E1"/>
    <w:rsid w:val="009B4A02"/>
    <w:rsid w:val="009B513D"/>
    <w:rsid w:val="009B526B"/>
    <w:rsid w:val="009B5325"/>
    <w:rsid w:val="009B5D30"/>
    <w:rsid w:val="009B63FE"/>
    <w:rsid w:val="009B6777"/>
    <w:rsid w:val="009B6ABB"/>
    <w:rsid w:val="009B765D"/>
    <w:rsid w:val="009B766B"/>
    <w:rsid w:val="009B7892"/>
    <w:rsid w:val="009C07A9"/>
    <w:rsid w:val="009C07CF"/>
    <w:rsid w:val="009C0B64"/>
    <w:rsid w:val="009C17D8"/>
    <w:rsid w:val="009C17E7"/>
    <w:rsid w:val="009C1A63"/>
    <w:rsid w:val="009C1F56"/>
    <w:rsid w:val="009C1FEB"/>
    <w:rsid w:val="009C2A5F"/>
    <w:rsid w:val="009C317B"/>
    <w:rsid w:val="009C32AA"/>
    <w:rsid w:val="009C3479"/>
    <w:rsid w:val="009C4203"/>
    <w:rsid w:val="009C48C1"/>
    <w:rsid w:val="009C4F43"/>
    <w:rsid w:val="009C5987"/>
    <w:rsid w:val="009C5AC2"/>
    <w:rsid w:val="009C704B"/>
    <w:rsid w:val="009C7BEA"/>
    <w:rsid w:val="009D07FA"/>
    <w:rsid w:val="009D0D2E"/>
    <w:rsid w:val="009D114F"/>
    <w:rsid w:val="009D1AFD"/>
    <w:rsid w:val="009D2F0B"/>
    <w:rsid w:val="009D31DF"/>
    <w:rsid w:val="009D3DA2"/>
    <w:rsid w:val="009D3E8F"/>
    <w:rsid w:val="009D3F43"/>
    <w:rsid w:val="009D4908"/>
    <w:rsid w:val="009D5061"/>
    <w:rsid w:val="009D570B"/>
    <w:rsid w:val="009D5AC5"/>
    <w:rsid w:val="009D5E69"/>
    <w:rsid w:val="009D64A2"/>
    <w:rsid w:val="009D64BC"/>
    <w:rsid w:val="009D672F"/>
    <w:rsid w:val="009D78A8"/>
    <w:rsid w:val="009D7CB9"/>
    <w:rsid w:val="009E02AA"/>
    <w:rsid w:val="009E1DFA"/>
    <w:rsid w:val="009E1F4A"/>
    <w:rsid w:val="009E2C06"/>
    <w:rsid w:val="009E2FCA"/>
    <w:rsid w:val="009E3282"/>
    <w:rsid w:val="009E3338"/>
    <w:rsid w:val="009E3ACA"/>
    <w:rsid w:val="009E3DD0"/>
    <w:rsid w:val="009E4230"/>
    <w:rsid w:val="009E450C"/>
    <w:rsid w:val="009E47C3"/>
    <w:rsid w:val="009E4DEB"/>
    <w:rsid w:val="009E4EDF"/>
    <w:rsid w:val="009E5091"/>
    <w:rsid w:val="009E5271"/>
    <w:rsid w:val="009E55D5"/>
    <w:rsid w:val="009E581B"/>
    <w:rsid w:val="009E5AC2"/>
    <w:rsid w:val="009E5C2E"/>
    <w:rsid w:val="009E5CDF"/>
    <w:rsid w:val="009E5F3B"/>
    <w:rsid w:val="009E683E"/>
    <w:rsid w:val="009E6BA4"/>
    <w:rsid w:val="009E6C85"/>
    <w:rsid w:val="009F10E6"/>
    <w:rsid w:val="009F136B"/>
    <w:rsid w:val="009F141E"/>
    <w:rsid w:val="009F1C2D"/>
    <w:rsid w:val="009F1E6D"/>
    <w:rsid w:val="009F21CB"/>
    <w:rsid w:val="009F2A08"/>
    <w:rsid w:val="009F31C4"/>
    <w:rsid w:val="009F3515"/>
    <w:rsid w:val="009F3806"/>
    <w:rsid w:val="009F3909"/>
    <w:rsid w:val="009F49F0"/>
    <w:rsid w:val="009F4D26"/>
    <w:rsid w:val="009F4EE7"/>
    <w:rsid w:val="009F4F37"/>
    <w:rsid w:val="009F5093"/>
    <w:rsid w:val="009F51F0"/>
    <w:rsid w:val="009F5445"/>
    <w:rsid w:val="009F5478"/>
    <w:rsid w:val="009F554A"/>
    <w:rsid w:val="009F576A"/>
    <w:rsid w:val="009F57BF"/>
    <w:rsid w:val="009F5A83"/>
    <w:rsid w:val="009F5A93"/>
    <w:rsid w:val="009F5B7E"/>
    <w:rsid w:val="009F5E63"/>
    <w:rsid w:val="009F625F"/>
    <w:rsid w:val="009F6817"/>
    <w:rsid w:val="009F6BDE"/>
    <w:rsid w:val="009F77D6"/>
    <w:rsid w:val="00A0012F"/>
    <w:rsid w:val="00A00694"/>
    <w:rsid w:val="00A00BFA"/>
    <w:rsid w:val="00A00DBE"/>
    <w:rsid w:val="00A00F66"/>
    <w:rsid w:val="00A015F5"/>
    <w:rsid w:val="00A01B3E"/>
    <w:rsid w:val="00A02055"/>
    <w:rsid w:val="00A0237F"/>
    <w:rsid w:val="00A02B19"/>
    <w:rsid w:val="00A0352B"/>
    <w:rsid w:val="00A05465"/>
    <w:rsid w:val="00A057DD"/>
    <w:rsid w:val="00A06922"/>
    <w:rsid w:val="00A06E14"/>
    <w:rsid w:val="00A07012"/>
    <w:rsid w:val="00A0725E"/>
    <w:rsid w:val="00A07402"/>
    <w:rsid w:val="00A0769F"/>
    <w:rsid w:val="00A07968"/>
    <w:rsid w:val="00A07AAF"/>
    <w:rsid w:val="00A10090"/>
    <w:rsid w:val="00A1036E"/>
    <w:rsid w:val="00A10A07"/>
    <w:rsid w:val="00A10F07"/>
    <w:rsid w:val="00A11F7D"/>
    <w:rsid w:val="00A123A8"/>
    <w:rsid w:val="00A12422"/>
    <w:rsid w:val="00A1265E"/>
    <w:rsid w:val="00A127F3"/>
    <w:rsid w:val="00A12C20"/>
    <w:rsid w:val="00A1353A"/>
    <w:rsid w:val="00A138E8"/>
    <w:rsid w:val="00A13BD3"/>
    <w:rsid w:val="00A13FFC"/>
    <w:rsid w:val="00A14159"/>
    <w:rsid w:val="00A142B1"/>
    <w:rsid w:val="00A14B55"/>
    <w:rsid w:val="00A14D53"/>
    <w:rsid w:val="00A15886"/>
    <w:rsid w:val="00A15B67"/>
    <w:rsid w:val="00A16535"/>
    <w:rsid w:val="00A16BEA"/>
    <w:rsid w:val="00A16DBE"/>
    <w:rsid w:val="00A177C0"/>
    <w:rsid w:val="00A177F4"/>
    <w:rsid w:val="00A179BD"/>
    <w:rsid w:val="00A17B4B"/>
    <w:rsid w:val="00A20A24"/>
    <w:rsid w:val="00A20D73"/>
    <w:rsid w:val="00A2151C"/>
    <w:rsid w:val="00A21B61"/>
    <w:rsid w:val="00A21C13"/>
    <w:rsid w:val="00A21F94"/>
    <w:rsid w:val="00A22065"/>
    <w:rsid w:val="00A2274E"/>
    <w:rsid w:val="00A22C88"/>
    <w:rsid w:val="00A23797"/>
    <w:rsid w:val="00A237F1"/>
    <w:rsid w:val="00A239E8"/>
    <w:rsid w:val="00A23D29"/>
    <w:rsid w:val="00A24D9A"/>
    <w:rsid w:val="00A24EBD"/>
    <w:rsid w:val="00A24FF9"/>
    <w:rsid w:val="00A25161"/>
    <w:rsid w:val="00A25674"/>
    <w:rsid w:val="00A25813"/>
    <w:rsid w:val="00A25B6E"/>
    <w:rsid w:val="00A25BE0"/>
    <w:rsid w:val="00A25C3A"/>
    <w:rsid w:val="00A26072"/>
    <w:rsid w:val="00A26359"/>
    <w:rsid w:val="00A26502"/>
    <w:rsid w:val="00A26774"/>
    <w:rsid w:val="00A26922"/>
    <w:rsid w:val="00A26B5E"/>
    <w:rsid w:val="00A26BCF"/>
    <w:rsid w:val="00A27931"/>
    <w:rsid w:val="00A3119E"/>
    <w:rsid w:val="00A3148F"/>
    <w:rsid w:val="00A31C22"/>
    <w:rsid w:val="00A31C94"/>
    <w:rsid w:val="00A31FFF"/>
    <w:rsid w:val="00A325F8"/>
    <w:rsid w:val="00A32912"/>
    <w:rsid w:val="00A32A0F"/>
    <w:rsid w:val="00A32B23"/>
    <w:rsid w:val="00A32E44"/>
    <w:rsid w:val="00A3321B"/>
    <w:rsid w:val="00A332BE"/>
    <w:rsid w:val="00A33958"/>
    <w:rsid w:val="00A339D8"/>
    <w:rsid w:val="00A33B9D"/>
    <w:rsid w:val="00A33D74"/>
    <w:rsid w:val="00A33DFB"/>
    <w:rsid w:val="00A3437A"/>
    <w:rsid w:val="00A34884"/>
    <w:rsid w:val="00A3496A"/>
    <w:rsid w:val="00A35FDA"/>
    <w:rsid w:val="00A36D10"/>
    <w:rsid w:val="00A3703E"/>
    <w:rsid w:val="00A37165"/>
    <w:rsid w:val="00A373D9"/>
    <w:rsid w:val="00A37528"/>
    <w:rsid w:val="00A37690"/>
    <w:rsid w:val="00A376B9"/>
    <w:rsid w:val="00A37BA1"/>
    <w:rsid w:val="00A37D42"/>
    <w:rsid w:val="00A37F93"/>
    <w:rsid w:val="00A37FB8"/>
    <w:rsid w:val="00A40851"/>
    <w:rsid w:val="00A408A3"/>
    <w:rsid w:val="00A40B3B"/>
    <w:rsid w:val="00A4102D"/>
    <w:rsid w:val="00A412A7"/>
    <w:rsid w:val="00A413DB"/>
    <w:rsid w:val="00A417DC"/>
    <w:rsid w:val="00A41BAC"/>
    <w:rsid w:val="00A41C71"/>
    <w:rsid w:val="00A42DE0"/>
    <w:rsid w:val="00A42EB8"/>
    <w:rsid w:val="00A43207"/>
    <w:rsid w:val="00A437E1"/>
    <w:rsid w:val="00A43ED9"/>
    <w:rsid w:val="00A44C3E"/>
    <w:rsid w:val="00A45D3B"/>
    <w:rsid w:val="00A46166"/>
    <w:rsid w:val="00A461F1"/>
    <w:rsid w:val="00A46564"/>
    <w:rsid w:val="00A46A4B"/>
    <w:rsid w:val="00A46B71"/>
    <w:rsid w:val="00A46CF8"/>
    <w:rsid w:val="00A470C1"/>
    <w:rsid w:val="00A47170"/>
    <w:rsid w:val="00A4754F"/>
    <w:rsid w:val="00A47D69"/>
    <w:rsid w:val="00A47FB3"/>
    <w:rsid w:val="00A50416"/>
    <w:rsid w:val="00A50688"/>
    <w:rsid w:val="00A509C5"/>
    <w:rsid w:val="00A50F9A"/>
    <w:rsid w:val="00A51047"/>
    <w:rsid w:val="00A513BB"/>
    <w:rsid w:val="00A51569"/>
    <w:rsid w:val="00A524A8"/>
    <w:rsid w:val="00A526F1"/>
    <w:rsid w:val="00A53312"/>
    <w:rsid w:val="00A536F0"/>
    <w:rsid w:val="00A541FF"/>
    <w:rsid w:val="00A5442E"/>
    <w:rsid w:val="00A54C60"/>
    <w:rsid w:val="00A55277"/>
    <w:rsid w:val="00A556D4"/>
    <w:rsid w:val="00A5596C"/>
    <w:rsid w:val="00A55C3B"/>
    <w:rsid w:val="00A56090"/>
    <w:rsid w:val="00A56476"/>
    <w:rsid w:val="00A5648A"/>
    <w:rsid w:val="00A5657A"/>
    <w:rsid w:val="00A56784"/>
    <w:rsid w:val="00A570E2"/>
    <w:rsid w:val="00A57632"/>
    <w:rsid w:val="00A57FCB"/>
    <w:rsid w:val="00A601B9"/>
    <w:rsid w:val="00A606F2"/>
    <w:rsid w:val="00A611B4"/>
    <w:rsid w:val="00A61215"/>
    <w:rsid w:val="00A61555"/>
    <w:rsid w:val="00A625EF"/>
    <w:rsid w:val="00A62633"/>
    <w:rsid w:val="00A62A70"/>
    <w:rsid w:val="00A630E2"/>
    <w:rsid w:val="00A6394A"/>
    <w:rsid w:val="00A64156"/>
    <w:rsid w:val="00A6482E"/>
    <w:rsid w:val="00A64CA7"/>
    <w:rsid w:val="00A64E2C"/>
    <w:rsid w:val="00A6516E"/>
    <w:rsid w:val="00A6573E"/>
    <w:rsid w:val="00A6588A"/>
    <w:rsid w:val="00A6629D"/>
    <w:rsid w:val="00A667F0"/>
    <w:rsid w:val="00A66C21"/>
    <w:rsid w:val="00A66D30"/>
    <w:rsid w:val="00A66D56"/>
    <w:rsid w:val="00A6738F"/>
    <w:rsid w:val="00A67621"/>
    <w:rsid w:val="00A678B8"/>
    <w:rsid w:val="00A67DCD"/>
    <w:rsid w:val="00A70BB7"/>
    <w:rsid w:val="00A70CB3"/>
    <w:rsid w:val="00A70E43"/>
    <w:rsid w:val="00A70FA1"/>
    <w:rsid w:val="00A70FA3"/>
    <w:rsid w:val="00A7127A"/>
    <w:rsid w:val="00A714B9"/>
    <w:rsid w:val="00A71A3F"/>
    <w:rsid w:val="00A71CAF"/>
    <w:rsid w:val="00A72294"/>
    <w:rsid w:val="00A725D2"/>
    <w:rsid w:val="00A73305"/>
    <w:rsid w:val="00A73892"/>
    <w:rsid w:val="00A74029"/>
    <w:rsid w:val="00A7421C"/>
    <w:rsid w:val="00A742BA"/>
    <w:rsid w:val="00A743B3"/>
    <w:rsid w:val="00A74514"/>
    <w:rsid w:val="00A747EB"/>
    <w:rsid w:val="00A74CB1"/>
    <w:rsid w:val="00A74D04"/>
    <w:rsid w:val="00A75514"/>
    <w:rsid w:val="00A756FA"/>
    <w:rsid w:val="00A76322"/>
    <w:rsid w:val="00A76516"/>
    <w:rsid w:val="00A766F8"/>
    <w:rsid w:val="00A76DAA"/>
    <w:rsid w:val="00A773CD"/>
    <w:rsid w:val="00A77B99"/>
    <w:rsid w:val="00A77C79"/>
    <w:rsid w:val="00A77D79"/>
    <w:rsid w:val="00A80141"/>
    <w:rsid w:val="00A81097"/>
    <w:rsid w:val="00A8181E"/>
    <w:rsid w:val="00A81F9C"/>
    <w:rsid w:val="00A81FA5"/>
    <w:rsid w:val="00A81FB6"/>
    <w:rsid w:val="00A82124"/>
    <w:rsid w:val="00A82C96"/>
    <w:rsid w:val="00A82CB9"/>
    <w:rsid w:val="00A82D50"/>
    <w:rsid w:val="00A837DE"/>
    <w:rsid w:val="00A83CF7"/>
    <w:rsid w:val="00A83D24"/>
    <w:rsid w:val="00A84230"/>
    <w:rsid w:val="00A843C8"/>
    <w:rsid w:val="00A84CE1"/>
    <w:rsid w:val="00A84DA3"/>
    <w:rsid w:val="00A85C8D"/>
    <w:rsid w:val="00A85FB3"/>
    <w:rsid w:val="00A85FEA"/>
    <w:rsid w:val="00A86053"/>
    <w:rsid w:val="00A861CB"/>
    <w:rsid w:val="00A869DE"/>
    <w:rsid w:val="00A86DBE"/>
    <w:rsid w:val="00A872A2"/>
    <w:rsid w:val="00A8788A"/>
    <w:rsid w:val="00A87C25"/>
    <w:rsid w:val="00A90126"/>
    <w:rsid w:val="00A9052E"/>
    <w:rsid w:val="00A912DA"/>
    <w:rsid w:val="00A9136D"/>
    <w:rsid w:val="00A9164D"/>
    <w:rsid w:val="00A91AE1"/>
    <w:rsid w:val="00A91DB6"/>
    <w:rsid w:val="00A92AD0"/>
    <w:rsid w:val="00A92C26"/>
    <w:rsid w:val="00A92CE7"/>
    <w:rsid w:val="00A92F37"/>
    <w:rsid w:val="00A92FF8"/>
    <w:rsid w:val="00A93256"/>
    <w:rsid w:val="00A934A6"/>
    <w:rsid w:val="00A93586"/>
    <w:rsid w:val="00A93853"/>
    <w:rsid w:val="00A93A83"/>
    <w:rsid w:val="00A93EED"/>
    <w:rsid w:val="00A94080"/>
    <w:rsid w:val="00A94E2C"/>
    <w:rsid w:val="00A95689"/>
    <w:rsid w:val="00A956D2"/>
    <w:rsid w:val="00A9577A"/>
    <w:rsid w:val="00A95A4C"/>
    <w:rsid w:val="00A95B29"/>
    <w:rsid w:val="00A95B40"/>
    <w:rsid w:val="00A95E83"/>
    <w:rsid w:val="00A967EE"/>
    <w:rsid w:val="00A96873"/>
    <w:rsid w:val="00A970BF"/>
    <w:rsid w:val="00A970E5"/>
    <w:rsid w:val="00A97BAD"/>
    <w:rsid w:val="00AA01F6"/>
    <w:rsid w:val="00AA0504"/>
    <w:rsid w:val="00AA0971"/>
    <w:rsid w:val="00AA09E8"/>
    <w:rsid w:val="00AA0A16"/>
    <w:rsid w:val="00AA11A4"/>
    <w:rsid w:val="00AA1330"/>
    <w:rsid w:val="00AA1966"/>
    <w:rsid w:val="00AA1A9E"/>
    <w:rsid w:val="00AA1EED"/>
    <w:rsid w:val="00AA2503"/>
    <w:rsid w:val="00AA26DD"/>
    <w:rsid w:val="00AA2B91"/>
    <w:rsid w:val="00AA34E0"/>
    <w:rsid w:val="00AA3963"/>
    <w:rsid w:val="00AA4836"/>
    <w:rsid w:val="00AA4949"/>
    <w:rsid w:val="00AA4E86"/>
    <w:rsid w:val="00AA5028"/>
    <w:rsid w:val="00AA541D"/>
    <w:rsid w:val="00AA5598"/>
    <w:rsid w:val="00AA5B0A"/>
    <w:rsid w:val="00AA5D41"/>
    <w:rsid w:val="00AA5DF4"/>
    <w:rsid w:val="00AA628B"/>
    <w:rsid w:val="00AA64C8"/>
    <w:rsid w:val="00AA66E9"/>
    <w:rsid w:val="00AA67F7"/>
    <w:rsid w:val="00AA76AF"/>
    <w:rsid w:val="00AA79DF"/>
    <w:rsid w:val="00AA7AAB"/>
    <w:rsid w:val="00AA7B5D"/>
    <w:rsid w:val="00AB0F58"/>
    <w:rsid w:val="00AB0FD2"/>
    <w:rsid w:val="00AB1D72"/>
    <w:rsid w:val="00AB1DFB"/>
    <w:rsid w:val="00AB36C9"/>
    <w:rsid w:val="00AB3746"/>
    <w:rsid w:val="00AB3B08"/>
    <w:rsid w:val="00AB3D76"/>
    <w:rsid w:val="00AB452F"/>
    <w:rsid w:val="00AB53DB"/>
    <w:rsid w:val="00AB5581"/>
    <w:rsid w:val="00AB614E"/>
    <w:rsid w:val="00AB6806"/>
    <w:rsid w:val="00AB707F"/>
    <w:rsid w:val="00AB70D5"/>
    <w:rsid w:val="00AB7888"/>
    <w:rsid w:val="00AB79FE"/>
    <w:rsid w:val="00AC0058"/>
    <w:rsid w:val="00AC023F"/>
    <w:rsid w:val="00AC0DFD"/>
    <w:rsid w:val="00AC10BA"/>
    <w:rsid w:val="00AC175A"/>
    <w:rsid w:val="00AC1953"/>
    <w:rsid w:val="00AC26A3"/>
    <w:rsid w:val="00AC2724"/>
    <w:rsid w:val="00AC29A9"/>
    <w:rsid w:val="00AC2A96"/>
    <w:rsid w:val="00AC2CE2"/>
    <w:rsid w:val="00AC2CF1"/>
    <w:rsid w:val="00AC2DC3"/>
    <w:rsid w:val="00AC2E9C"/>
    <w:rsid w:val="00AC31EE"/>
    <w:rsid w:val="00AC361D"/>
    <w:rsid w:val="00AC37DC"/>
    <w:rsid w:val="00AC41F3"/>
    <w:rsid w:val="00AC4685"/>
    <w:rsid w:val="00AC49C2"/>
    <w:rsid w:val="00AC4B1A"/>
    <w:rsid w:val="00AC5691"/>
    <w:rsid w:val="00AC59A8"/>
    <w:rsid w:val="00AC630F"/>
    <w:rsid w:val="00AC6474"/>
    <w:rsid w:val="00AC67DF"/>
    <w:rsid w:val="00AC6915"/>
    <w:rsid w:val="00AC72A1"/>
    <w:rsid w:val="00AC786F"/>
    <w:rsid w:val="00AC794E"/>
    <w:rsid w:val="00AD0035"/>
    <w:rsid w:val="00AD0287"/>
    <w:rsid w:val="00AD02A8"/>
    <w:rsid w:val="00AD0707"/>
    <w:rsid w:val="00AD107D"/>
    <w:rsid w:val="00AD2430"/>
    <w:rsid w:val="00AD255D"/>
    <w:rsid w:val="00AD292E"/>
    <w:rsid w:val="00AD31DB"/>
    <w:rsid w:val="00AD3208"/>
    <w:rsid w:val="00AD33CC"/>
    <w:rsid w:val="00AD370A"/>
    <w:rsid w:val="00AD3B9F"/>
    <w:rsid w:val="00AD4392"/>
    <w:rsid w:val="00AD4851"/>
    <w:rsid w:val="00AD5935"/>
    <w:rsid w:val="00AD6120"/>
    <w:rsid w:val="00AD73C2"/>
    <w:rsid w:val="00AD7A2B"/>
    <w:rsid w:val="00AD7A8E"/>
    <w:rsid w:val="00AD7BAE"/>
    <w:rsid w:val="00AE0466"/>
    <w:rsid w:val="00AE087E"/>
    <w:rsid w:val="00AE088D"/>
    <w:rsid w:val="00AE0E31"/>
    <w:rsid w:val="00AE12D4"/>
    <w:rsid w:val="00AE1725"/>
    <w:rsid w:val="00AE1863"/>
    <w:rsid w:val="00AE1BCB"/>
    <w:rsid w:val="00AE1DD8"/>
    <w:rsid w:val="00AE1E68"/>
    <w:rsid w:val="00AE31DC"/>
    <w:rsid w:val="00AE3450"/>
    <w:rsid w:val="00AE3D88"/>
    <w:rsid w:val="00AE4F1F"/>
    <w:rsid w:val="00AE55F7"/>
    <w:rsid w:val="00AE5721"/>
    <w:rsid w:val="00AE62EB"/>
    <w:rsid w:val="00AE648D"/>
    <w:rsid w:val="00AE6A01"/>
    <w:rsid w:val="00AE772A"/>
    <w:rsid w:val="00AE790D"/>
    <w:rsid w:val="00AE7F35"/>
    <w:rsid w:val="00AF00B2"/>
    <w:rsid w:val="00AF017A"/>
    <w:rsid w:val="00AF041E"/>
    <w:rsid w:val="00AF049D"/>
    <w:rsid w:val="00AF05F7"/>
    <w:rsid w:val="00AF06B7"/>
    <w:rsid w:val="00AF128C"/>
    <w:rsid w:val="00AF1354"/>
    <w:rsid w:val="00AF14D7"/>
    <w:rsid w:val="00AF17BB"/>
    <w:rsid w:val="00AF1812"/>
    <w:rsid w:val="00AF1B06"/>
    <w:rsid w:val="00AF1BAD"/>
    <w:rsid w:val="00AF1BD2"/>
    <w:rsid w:val="00AF21DD"/>
    <w:rsid w:val="00AF24D5"/>
    <w:rsid w:val="00AF29F6"/>
    <w:rsid w:val="00AF34C7"/>
    <w:rsid w:val="00AF3AE6"/>
    <w:rsid w:val="00AF4B80"/>
    <w:rsid w:val="00AF4FF7"/>
    <w:rsid w:val="00AF5089"/>
    <w:rsid w:val="00AF5BE0"/>
    <w:rsid w:val="00AF5C19"/>
    <w:rsid w:val="00AF5C4B"/>
    <w:rsid w:val="00AF6BA6"/>
    <w:rsid w:val="00AF7203"/>
    <w:rsid w:val="00AF73D2"/>
    <w:rsid w:val="00AF746D"/>
    <w:rsid w:val="00AF77A6"/>
    <w:rsid w:val="00AF77E5"/>
    <w:rsid w:val="00AF7D16"/>
    <w:rsid w:val="00B0017F"/>
    <w:rsid w:val="00B005C3"/>
    <w:rsid w:val="00B005DF"/>
    <w:rsid w:val="00B022D9"/>
    <w:rsid w:val="00B02535"/>
    <w:rsid w:val="00B02D86"/>
    <w:rsid w:val="00B02ED6"/>
    <w:rsid w:val="00B02F82"/>
    <w:rsid w:val="00B031A4"/>
    <w:rsid w:val="00B033A5"/>
    <w:rsid w:val="00B035CA"/>
    <w:rsid w:val="00B03A5B"/>
    <w:rsid w:val="00B03B12"/>
    <w:rsid w:val="00B03FC6"/>
    <w:rsid w:val="00B04144"/>
    <w:rsid w:val="00B0464F"/>
    <w:rsid w:val="00B04AC9"/>
    <w:rsid w:val="00B04D1F"/>
    <w:rsid w:val="00B04EAC"/>
    <w:rsid w:val="00B04F4A"/>
    <w:rsid w:val="00B0513A"/>
    <w:rsid w:val="00B0514D"/>
    <w:rsid w:val="00B05183"/>
    <w:rsid w:val="00B05637"/>
    <w:rsid w:val="00B059D7"/>
    <w:rsid w:val="00B05B2F"/>
    <w:rsid w:val="00B05DA0"/>
    <w:rsid w:val="00B05EA8"/>
    <w:rsid w:val="00B063A5"/>
    <w:rsid w:val="00B063F3"/>
    <w:rsid w:val="00B06597"/>
    <w:rsid w:val="00B07276"/>
    <w:rsid w:val="00B07561"/>
    <w:rsid w:val="00B0776F"/>
    <w:rsid w:val="00B07E75"/>
    <w:rsid w:val="00B10228"/>
    <w:rsid w:val="00B10289"/>
    <w:rsid w:val="00B106E8"/>
    <w:rsid w:val="00B108C8"/>
    <w:rsid w:val="00B10DEF"/>
    <w:rsid w:val="00B11150"/>
    <w:rsid w:val="00B113DF"/>
    <w:rsid w:val="00B1169F"/>
    <w:rsid w:val="00B12C81"/>
    <w:rsid w:val="00B12DCB"/>
    <w:rsid w:val="00B12DD4"/>
    <w:rsid w:val="00B131B4"/>
    <w:rsid w:val="00B13929"/>
    <w:rsid w:val="00B13C3D"/>
    <w:rsid w:val="00B140A6"/>
    <w:rsid w:val="00B141B6"/>
    <w:rsid w:val="00B14DF3"/>
    <w:rsid w:val="00B15314"/>
    <w:rsid w:val="00B15385"/>
    <w:rsid w:val="00B15703"/>
    <w:rsid w:val="00B15B82"/>
    <w:rsid w:val="00B161B9"/>
    <w:rsid w:val="00B16D87"/>
    <w:rsid w:val="00B17186"/>
    <w:rsid w:val="00B178F3"/>
    <w:rsid w:val="00B1796E"/>
    <w:rsid w:val="00B205A6"/>
    <w:rsid w:val="00B208D9"/>
    <w:rsid w:val="00B20940"/>
    <w:rsid w:val="00B211C0"/>
    <w:rsid w:val="00B21340"/>
    <w:rsid w:val="00B214F2"/>
    <w:rsid w:val="00B21745"/>
    <w:rsid w:val="00B21D59"/>
    <w:rsid w:val="00B21FFC"/>
    <w:rsid w:val="00B22EBA"/>
    <w:rsid w:val="00B22F57"/>
    <w:rsid w:val="00B22FE8"/>
    <w:rsid w:val="00B232F5"/>
    <w:rsid w:val="00B234BE"/>
    <w:rsid w:val="00B23AA9"/>
    <w:rsid w:val="00B23BDF"/>
    <w:rsid w:val="00B23FB8"/>
    <w:rsid w:val="00B2403D"/>
    <w:rsid w:val="00B244CF"/>
    <w:rsid w:val="00B24825"/>
    <w:rsid w:val="00B24EE3"/>
    <w:rsid w:val="00B24F97"/>
    <w:rsid w:val="00B25066"/>
    <w:rsid w:val="00B261A9"/>
    <w:rsid w:val="00B26439"/>
    <w:rsid w:val="00B26561"/>
    <w:rsid w:val="00B266C7"/>
    <w:rsid w:val="00B26A79"/>
    <w:rsid w:val="00B26D5C"/>
    <w:rsid w:val="00B26E68"/>
    <w:rsid w:val="00B27568"/>
    <w:rsid w:val="00B27C18"/>
    <w:rsid w:val="00B27D67"/>
    <w:rsid w:val="00B304C8"/>
    <w:rsid w:val="00B3050F"/>
    <w:rsid w:val="00B30641"/>
    <w:rsid w:val="00B3078B"/>
    <w:rsid w:val="00B30836"/>
    <w:rsid w:val="00B30A9B"/>
    <w:rsid w:val="00B30CCC"/>
    <w:rsid w:val="00B30D59"/>
    <w:rsid w:val="00B30EFF"/>
    <w:rsid w:val="00B312E5"/>
    <w:rsid w:val="00B317B1"/>
    <w:rsid w:val="00B319CF"/>
    <w:rsid w:val="00B31BF9"/>
    <w:rsid w:val="00B32695"/>
    <w:rsid w:val="00B32C9D"/>
    <w:rsid w:val="00B32EED"/>
    <w:rsid w:val="00B3329D"/>
    <w:rsid w:val="00B336EA"/>
    <w:rsid w:val="00B33A09"/>
    <w:rsid w:val="00B33A77"/>
    <w:rsid w:val="00B33BFC"/>
    <w:rsid w:val="00B346CC"/>
    <w:rsid w:val="00B3480F"/>
    <w:rsid w:val="00B34CC3"/>
    <w:rsid w:val="00B34E41"/>
    <w:rsid w:val="00B35085"/>
    <w:rsid w:val="00B35300"/>
    <w:rsid w:val="00B3560F"/>
    <w:rsid w:val="00B361CC"/>
    <w:rsid w:val="00B365DD"/>
    <w:rsid w:val="00B36B4D"/>
    <w:rsid w:val="00B37311"/>
    <w:rsid w:val="00B3744D"/>
    <w:rsid w:val="00B375A1"/>
    <w:rsid w:val="00B37892"/>
    <w:rsid w:val="00B37C7D"/>
    <w:rsid w:val="00B405C3"/>
    <w:rsid w:val="00B40988"/>
    <w:rsid w:val="00B40A85"/>
    <w:rsid w:val="00B40E20"/>
    <w:rsid w:val="00B4114A"/>
    <w:rsid w:val="00B41722"/>
    <w:rsid w:val="00B418D5"/>
    <w:rsid w:val="00B41E39"/>
    <w:rsid w:val="00B41E6F"/>
    <w:rsid w:val="00B420F5"/>
    <w:rsid w:val="00B42227"/>
    <w:rsid w:val="00B42361"/>
    <w:rsid w:val="00B42469"/>
    <w:rsid w:val="00B4246A"/>
    <w:rsid w:val="00B429F5"/>
    <w:rsid w:val="00B42F27"/>
    <w:rsid w:val="00B43010"/>
    <w:rsid w:val="00B43861"/>
    <w:rsid w:val="00B43CBB"/>
    <w:rsid w:val="00B44300"/>
    <w:rsid w:val="00B44798"/>
    <w:rsid w:val="00B4540B"/>
    <w:rsid w:val="00B4582D"/>
    <w:rsid w:val="00B45906"/>
    <w:rsid w:val="00B45F72"/>
    <w:rsid w:val="00B4686D"/>
    <w:rsid w:val="00B469A3"/>
    <w:rsid w:val="00B46A8A"/>
    <w:rsid w:val="00B46E5A"/>
    <w:rsid w:val="00B47017"/>
    <w:rsid w:val="00B47721"/>
    <w:rsid w:val="00B5018B"/>
    <w:rsid w:val="00B502B4"/>
    <w:rsid w:val="00B503DD"/>
    <w:rsid w:val="00B50543"/>
    <w:rsid w:val="00B505EB"/>
    <w:rsid w:val="00B50991"/>
    <w:rsid w:val="00B50A03"/>
    <w:rsid w:val="00B50E04"/>
    <w:rsid w:val="00B51159"/>
    <w:rsid w:val="00B51EF7"/>
    <w:rsid w:val="00B52690"/>
    <w:rsid w:val="00B52888"/>
    <w:rsid w:val="00B53394"/>
    <w:rsid w:val="00B53AEF"/>
    <w:rsid w:val="00B53CBF"/>
    <w:rsid w:val="00B540B3"/>
    <w:rsid w:val="00B54CCA"/>
    <w:rsid w:val="00B55153"/>
    <w:rsid w:val="00B551CF"/>
    <w:rsid w:val="00B569F6"/>
    <w:rsid w:val="00B56ED5"/>
    <w:rsid w:val="00B5773B"/>
    <w:rsid w:val="00B57798"/>
    <w:rsid w:val="00B577E6"/>
    <w:rsid w:val="00B57C64"/>
    <w:rsid w:val="00B57DB4"/>
    <w:rsid w:val="00B57E17"/>
    <w:rsid w:val="00B606B3"/>
    <w:rsid w:val="00B60B10"/>
    <w:rsid w:val="00B60B7C"/>
    <w:rsid w:val="00B613BD"/>
    <w:rsid w:val="00B61A3C"/>
    <w:rsid w:val="00B61A87"/>
    <w:rsid w:val="00B62322"/>
    <w:rsid w:val="00B62696"/>
    <w:rsid w:val="00B6339E"/>
    <w:rsid w:val="00B634F6"/>
    <w:rsid w:val="00B639CE"/>
    <w:rsid w:val="00B63C8A"/>
    <w:rsid w:val="00B641FC"/>
    <w:rsid w:val="00B644AA"/>
    <w:rsid w:val="00B64562"/>
    <w:rsid w:val="00B64680"/>
    <w:rsid w:val="00B651B7"/>
    <w:rsid w:val="00B65243"/>
    <w:rsid w:val="00B65414"/>
    <w:rsid w:val="00B654AF"/>
    <w:rsid w:val="00B65532"/>
    <w:rsid w:val="00B656BD"/>
    <w:rsid w:val="00B662ED"/>
    <w:rsid w:val="00B666F4"/>
    <w:rsid w:val="00B66772"/>
    <w:rsid w:val="00B67FA9"/>
    <w:rsid w:val="00B701C2"/>
    <w:rsid w:val="00B7033E"/>
    <w:rsid w:val="00B705B1"/>
    <w:rsid w:val="00B705B3"/>
    <w:rsid w:val="00B70640"/>
    <w:rsid w:val="00B7095B"/>
    <w:rsid w:val="00B70997"/>
    <w:rsid w:val="00B709EF"/>
    <w:rsid w:val="00B70A52"/>
    <w:rsid w:val="00B70BBF"/>
    <w:rsid w:val="00B717A1"/>
    <w:rsid w:val="00B72693"/>
    <w:rsid w:val="00B72BC4"/>
    <w:rsid w:val="00B72E48"/>
    <w:rsid w:val="00B7311F"/>
    <w:rsid w:val="00B73550"/>
    <w:rsid w:val="00B7385F"/>
    <w:rsid w:val="00B73FC0"/>
    <w:rsid w:val="00B74285"/>
    <w:rsid w:val="00B7464F"/>
    <w:rsid w:val="00B74759"/>
    <w:rsid w:val="00B74897"/>
    <w:rsid w:val="00B74DE0"/>
    <w:rsid w:val="00B75355"/>
    <w:rsid w:val="00B75AB7"/>
    <w:rsid w:val="00B75CCC"/>
    <w:rsid w:val="00B76477"/>
    <w:rsid w:val="00B76B7A"/>
    <w:rsid w:val="00B76E28"/>
    <w:rsid w:val="00B772AE"/>
    <w:rsid w:val="00B7747F"/>
    <w:rsid w:val="00B77AD4"/>
    <w:rsid w:val="00B77BFE"/>
    <w:rsid w:val="00B80FC2"/>
    <w:rsid w:val="00B80FE0"/>
    <w:rsid w:val="00B81223"/>
    <w:rsid w:val="00B81636"/>
    <w:rsid w:val="00B81644"/>
    <w:rsid w:val="00B81865"/>
    <w:rsid w:val="00B819CC"/>
    <w:rsid w:val="00B81D6F"/>
    <w:rsid w:val="00B821B2"/>
    <w:rsid w:val="00B82845"/>
    <w:rsid w:val="00B82B2A"/>
    <w:rsid w:val="00B836A5"/>
    <w:rsid w:val="00B838AD"/>
    <w:rsid w:val="00B8500A"/>
    <w:rsid w:val="00B8527C"/>
    <w:rsid w:val="00B85694"/>
    <w:rsid w:val="00B857D3"/>
    <w:rsid w:val="00B85EFB"/>
    <w:rsid w:val="00B86262"/>
    <w:rsid w:val="00B872C5"/>
    <w:rsid w:val="00B8748A"/>
    <w:rsid w:val="00B87AB4"/>
    <w:rsid w:val="00B87CFB"/>
    <w:rsid w:val="00B87D94"/>
    <w:rsid w:val="00B90249"/>
    <w:rsid w:val="00B90834"/>
    <w:rsid w:val="00B90B0F"/>
    <w:rsid w:val="00B90B1D"/>
    <w:rsid w:val="00B90D74"/>
    <w:rsid w:val="00B90DCA"/>
    <w:rsid w:val="00B90F7E"/>
    <w:rsid w:val="00B90FA5"/>
    <w:rsid w:val="00B90FA6"/>
    <w:rsid w:val="00B9115C"/>
    <w:rsid w:val="00B91534"/>
    <w:rsid w:val="00B91B32"/>
    <w:rsid w:val="00B91D7E"/>
    <w:rsid w:val="00B929B4"/>
    <w:rsid w:val="00B929CB"/>
    <w:rsid w:val="00B92E35"/>
    <w:rsid w:val="00B92FBD"/>
    <w:rsid w:val="00B92FBE"/>
    <w:rsid w:val="00B931B4"/>
    <w:rsid w:val="00B93302"/>
    <w:rsid w:val="00B94173"/>
    <w:rsid w:val="00B94AC5"/>
    <w:rsid w:val="00B94CA5"/>
    <w:rsid w:val="00B96301"/>
    <w:rsid w:val="00B96CEC"/>
    <w:rsid w:val="00B97256"/>
    <w:rsid w:val="00B973B9"/>
    <w:rsid w:val="00B979D6"/>
    <w:rsid w:val="00B97D94"/>
    <w:rsid w:val="00B97E15"/>
    <w:rsid w:val="00BA065E"/>
    <w:rsid w:val="00BA11D0"/>
    <w:rsid w:val="00BA16B9"/>
    <w:rsid w:val="00BA22E1"/>
    <w:rsid w:val="00BA2699"/>
    <w:rsid w:val="00BA351C"/>
    <w:rsid w:val="00BA3591"/>
    <w:rsid w:val="00BA3EAB"/>
    <w:rsid w:val="00BA4028"/>
    <w:rsid w:val="00BA46AE"/>
    <w:rsid w:val="00BA4720"/>
    <w:rsid w:val="00BA4AE9"/>
    <w:rsid w:val="00BA4E02"/>
    <w:rsid w:val="00BA550A"/>
    <w:rsid w:val="00BA56A9"/>
    <w:rsid w:val="00BA6312"/>
    <w:rsid w:val="00BA70D3"/>
    <w:rsid w:val="00BA71A4"/>
    <w:rsid w:val="00BB0377"/>
    <w:rsid w:val="00BB04C2"/>
    <w:rsid w:val="00BB04DC"/>
    <w:rsid w:val="00BB0605"/>
    <w:rsid w:val="00BB1049"/>
    <w:rsid w:val="00BB1195"/>
    <w:rsid w:val="00BB1EA5"/>
    <w:rsid w:val="00BB2674"/>
    <w:rsid w:val="00BB2B68"/>
    <w:rsid w:val="00BB30A5"/>
    <w:rsid w:val="00BB3CBD"/>
    <w:rsid w:val="00BB42C4"/>
    <w:rsid w:val="00BB57E4"/>
    <w:rsid w:val="00BB5A9C"/>
    <w:rsid w:val="00BB675D"/>
    <w:rsid w:val="00BB6AED"/>
    <w:rsid w:val="00BB6FA2"/>
    <w:rsid w:val="00BC0271"/>
    <w:rsid w:val="00BC06BF"/>
    <w:rsid w:val="00BC0867"/>
    <w:rsid w:val="00BC08B1"/>
    <w:rsid w:val="00BC0C49"/>
    <w:rsid w:val="00BC0C60"/>
    <w:rsid w:val="00BC0CD8"/>
    <w:rsid w:val="00BC0D43"/>
    <w:rsid w:val="00BC10FC"/>
    <w:rsid w:val="00BC1679"/>
    <w:rsid w:val="00BC1922"/>
    <w:rsid w:val="00BC1961"/>
    <w:rsid w:val="00BC1D13"/>
    <w:rsid w:val="00BC2204"/>
    <w:rsid w:val="00BC2216"/>
    <w:rsid w:val="00BC247C"/>
    <w:rsid w:val="00BC268A"/>
    <w:rsid w:val="00BC2869"/>
    <w:rsid w:val="00BC2AA6"/>
    <w:rsid w:val="00BC3453"/>
    <w:rsid w:val="00BC35D6"/>
    <w:rsid w:val="00BC3691"/>
    <w:rsid w:val="00BC44E8"/>
    <w:rsid w:val="00BC4927"/>
    <w:rsid w:val="00BC55EE"/>
    <w:rsid w:val="00BC56C1"/>
    <w:rsid w:val="00BC61EA"/>
    <w:rsid w:val="00BC64D0"/>
    <w:rsid w:val="00BC6941"/>
    <w:rsid w:val="00BD00CB"/>
    <w:rsid w:val="00BD03A1"/>
    <w:rsid w:val="00BD0BA0"/>
    <w:rsid w:val="00BD166E"/>
    <w:rsid w:val="00BD17F1"/>
    <w:rsid w:val="00BD1C64"/>
    <w:rsid w:val="00BD21C2"/>
    <w:rsid w:val="00BD2435"/>
    <w:rsid w:val="00BD28B9"/>
    <w:rsid w:val="00BD2BA0"/>
    <w:rsid w:val="00BD2C15"/>
    <w:rsid w:val="00BD32EC"/>
    <w:rsid w:val="00BD3778"/>
    <w:rsid w:val="00BD3A53"/>
    <w:rsid w:val="00BD4657"/>
    <w:rsid w:val="00BD4B22"/>
    <w:rsid w:val="00BD4CE5"/>
    <w:rsid w:val="00BD4F54"/>
    <w:rsid w:val="00BD5779"/>
    <w:rsid w:val="00BD5F19"/>
    <w:rsid w:val="00BD6482"/>
    <w:rsid w:val="00BD66EE"/>
    <w:rsid w:val="00BD7C3E"/>
    <w:rsid w:val="00BD7D6F"/>
    <w:rsid w:val="00BE05A2"/>
    <w:rsid w:val="00BE08D7"/>
    <w:rsid w:val="00BE1B45"/>
    <w:rsid w:val="00BE2701"/>
    <w:rsid w:val="00BE2A26"/>
    <w:rsid w:val="00BE2C8E"/>
    <w:rsid w:val="00BE387E"/>
    <w:rsid w:val="00BE3A9A"/>
    <w:rsid w:val="00BE3AD6"/>
    <w:rsid w:val="00BE3BB7"/>
    <w:rsid w:val="00BE3CE7"/>
    <w:rsid w:val="00BE3E72"/>
    <w:rsid w:val="00BE4443"/>
    <w:rsid w:val="00BE48AD"/>
    <w:rsid w:val="00BE4D2B"/>
    <w:rsid w:val="00BE4DDA"/>
    <w:rsid w:val="00BE5B04"/>
    <w:rsid w:val="00BE60CD"/>
    <w:rsid w:val="00BE6319"/>
    <w:rsid w:val="00BE63EF"/>
    <w:rsid w:val="00BE7278"/>
    <w:rsid w:val="00BE7751"/>
    <w:rsid w:val="00BE77DF"/>
    <w:rsid w:val="00BF04E7"/>
    <w:rsid w:val="00BF0582"/>
    <w:rsid w:val="00BF18DC"/>
    <w:rsid w:val="00BF2666"/>
    <w:rsid w:val="00BF2C24"/>
    <w:rsid w:val="00BF2CB5"/>
    <w:rsid w:val="00BF2D78"/>
    <w:rsid w:val="00BF323C"/>
    <w:rsid w:val="00BF39A7"/>
    <w:rsid w:val="00BF3BC2"/>
    <w:rsid w:val="00BF4792"/>
    <w:rsid w:val="00BF4C37"/>
    <w:rsid w:val="00BF5311"/>
    <w:rsid w:val="00BF5C26"/>
    <w:rsid w:val="00BF6165"/>
    <w:rsid w:val="00BF683E"/>
    <w:rsid w:val="00BF70C2"/>
    <w:rsid w:val="00BF73FE"/>
    <w:rsid w:val="00BF7CCA"/>
    <w:rsid w:val="00BF7F12"/>
    <w:rsid w:val="00C01035"/>
    <w:rsid w:val="00C01143"/>
    <w:rsid w:val="00C011FC"/>
    <w:rsid w:val="00C015B5"/>
    <w:rsid w:val="00C018A2"/>
    <w:rsid w:val="00C01A77"/>
    <w:rsid w:val="00C025E4"/>
    <w:rsid w:val="00C02889"/>
    <w:rsid w:val="00C02CB6"/>
    <w:rsid w:val="00C02F9C"/>
    <w:rsid w:val="00C0333E"/>
    <w:rsid w:val="00C033FC"/>
    <w:rsid w:val="00C03772"/>
    <w:rsid w:val="00C041D1"/>
    <w:rsid w:val="00C04D69"/>
    <w:rsid w:val="00C050CC"/>
    <w:rsid w:val="00C05D76"/>
    <w:rsid w:val="00C0639F"/>
    <w:rsid w:val="00C0693E"/>
    <w:rsid w:val="00C06D5C"/>
    <w:rsid w:val="00C07AFD"/>
    <w:rsid w:val="00C07CDB"/>
    <w:rsid w:val="00C07E7F"/>
    <w:rsid w:val="00C100B4"/>
    <w:rsid w:val="00C10686"/>
    <w:rsid w:val="00C107CE"/>
    <w:rsid w:val="00C10D25"/>
    <w:rsid w:val="00C11309"/>
    <w:rsid w:val="00C11406"/>
    <w:rsid w:val="00C1185E"/>
    <w:rsid w:val="00C11F85"/>
    <w:rsid w:val="00C12784"/>
    <w:rsid w:val="00C12D05"/>
    <w:rsid w:val="00C13154"/>
    <w:rsid w:val="00C133B2"/>
    <w:rsid w:val="00C1353E"/>
    <w:rsid w:val="00C140DD"/>
    <w:rsid w:val="00C14592"/>
    <w:rsid w:val="00C145F6"/>
    <w:rsid w:val="00C14890"/>
    <w:rsid w:val="00C1501D"/>
    <w:rsid w:val="00C1564C"/>
    <w:rsid w:val="00C1568B"/>
    <w:rsid w:val="00C1582C"/>
    <w:rsid w:val="00C15D01"/>
    <w:rsid w:val="00C15E86"/>
    <w:rsid w:val="00C1618D"/>
    <w:rsid w:val="00C166F8"/>
    <w:rsid w:val="00C175B3"/>
    <w:rsid w:val="00C178EA"/>
    <w:rsid w:val="00C17B1C"/>
    <w:rsid w:val="00C17E9C"/>
    <w:rsid w:val="00C2005B"/>
    <w:rsid w:val="00C20546"/>
    <w:rsid w:val="00C2085B"/>
    <w:rsid w:val="00C20AB7"/>
    <w:rsid w:val="00C20F80"/>
    <w:rsid w:val="00C215CC"/>
    <w:rsid w:val="00C21920"/>
    <w:rsid w:val="00C21E46"/>
    <w:rsid w:val="00C22098"/>
    <w:rsid w:val="00C2219E"/>
    <w:rsid w:val="00C2250F"/>
    <w:rsid w:val="00C22742"/>
    <w:rsid w:val="00C2283D"/>
    <w:rsid w:val="00C228A7"/>
    <w:rsid w:val="00C228C6"/>
    <w:rsid w:val="00C229AB"/>
    <w:rsid w:val="00C22F5B"/>
    <w:rsid w:val="00C23A29"/>
    <w:rsid w:val="00C24017"/>
    <w:rsid w:val="00C2418A"/>
    <w:rsid w:val="00C24894"/>
    <w:rsid w:val="00C24CF7"/>
    <w:rsid w:val="00C24E89"/>
    <w:rsid w:val="00C24F33"/>
    <w:rsid w:val="00C2509E"/>
    <w:rsid w:val="00C255D1"/>
    <w:rsid w:val="00C256F9"/>
    <w:rsid w:val="00C2582C"/>
    <w:rsid w:val="00C25B01"/>
    <w:rsid w:val="00C26866"/>
    <w:rsid w:val="00C27163"/>
    <w:rsid w:val="00C271AB"/>
    <w:rsid w:val="00C27338"/>
    <w:rsid w:val="00C2741D"/>
    <w:rsid w:val="00C27BB9"/>
    <w:rsid w:val="00C27E6E"/>
    <w:rsid w:val="00C302F8"/>
    <w:rsid w:val="00C308F1"/>
    <w:rsid w:val="00C30ACB"/>
    <w:rsid w:val="00C30CAB"/>
    <w:rsid w:val="00C30E2F"/>
    <w:rsid w:val="00C3164C"/>
    <w:rsid w:val="00C31A13"/>
    <w:rsid w:val="00C31F48"/>
    <w:rsid w:val="00C31FCE"/>
    <w:rsid w:val="00C3279E"/>
    <w:rsid w:val="00C33284"/>
    <w:rsid w:val="00C33374"/>
    <w:rsid w:val="00C333B3"/>
    <w:rsid w:val="00C33610"/>
    <w:rsid w:val="00C349A9"/>
    <w:rsid w:val="00C34A29"/>
    <w:rsid w:val="00C34C91"/>
    <w:rsid w:val="00C34EDE"/>
    <w:rsid w:val="00C35560"/>
    <w:rsid w:val="00C35733"/>
    <w:rsid w:val="00C35814"/>
    <w:rsid w:val="00C35AB5"/>
    <w:rsid w:val="00C36140"/>
    <w:rsid w:val="00C362DC"/>
    <w:rsid w:val="00C36452"/>
    <w:rsid w:val="00C365FF"/>
    <w:rsid w:val="00C36612"/>
    <w:rsid w:val="00C36F1C"/>
    <w:rsid w:val="00C37222"/>
    <w:rsid w:val="00C37317"/>
    <w:rsid w:val="00C377C9"/>
    <w:rsid w:val="00C40047"/>
    <w:rsid w:val="00C407C4"/>
    <w:rsid w:val="00C40AC8"/>
    <w:rsid w:val="00C40AF4"/>
    <w:rsid w:val="00C40B3A"/>
    <w:rsid w:val="00C40CFD"/>
    <w:rsid w:val="00C40D57"/>
    <w:rsid w:val="00C40DE8"/>
    <w:rsid w:val="00C40E93"/>
    <w:rsid w:val="00C41515"/>
    <w:rsid w:val="00C41948"/>
    <w:rsid w:val="00C41EBE"/>
    <w:rsid w:val="00C4219D"/>
    <w:rsid w:val="00C42246"/>
    <w:rsid w:val="00C42A08"/>
    <w:rsid w:val="00C42A12"/>
    <w:rsid w:val="00C43E09"/>
    <w:rsid w:val="00C43F8C"/>
    <w:rsid w:val="00C44021"/>
    <w:rsid w:val="00C441D7"/>
    <w:rsid w:val="00C44568"/>
    <w:rsid w:val="00C45B29"/>
    <w:rsid w:val="00C460AB"/>
    <w:rsid w:val="00C46743"/>
    <w:rsid w:val="00C469A7"/>
    <w:rsid w:val="00C46FAF"/>
    <w:rsid w:val="00C470CA"/>
    <w:rsid w:val="00C4DC96"/>
    <w:rsid w:val="00C500B2"/>
    <w:rsid w:val="00C5120A"/>
    <w:rsid w:val="00C53436"/>
    <w:rsid w:val="00C53B16"/>
    <w:rsid w:val="00C54619"/>
    <w:rsid w:val="00C5480C"/>
    <w:rsid w:val="00C54852"/>
    <w:rsid w:val="00C54A00"/>
    <w:rsid w:val="00C54C13"/>
    <w:rsid w:val="00C54EB4"/>
    <w:rsid w:val="00C54F8D"/>
    <w:rsid w:val="00C54FE7"/>
    <w:rsid w:val="00C55033"/>
    <w:rsid w:val="00C55DFB"/>
    <w:rsid w:val="00C560C6"/>
    <w:rsid w:val="00C56B85"/>
    <w:rsid w:val="00C57492"/>
    <w:rsid w:val="00C57494"/>
    <w:rsid w:val="00C5783F"/>
    <w:rsid w:val="00C57A52"/>
    <w:rsid w:val="00C60510"/>
    <w:rsid w:val="00C607C2"/>
    <w:rsid w:val="00C60A15"/>
    <w:rsid w:val="00C61176"/>
    <w:rsid w:val="00C6150C"/>
    <w:rsid w:val="00C618C6"/>
    <w:rsid w:val="00C61933"/>
    <w:rsid w:val="00C61D24"/>
    <w:rsid w:val="00C61DE4"/>
    <w:rsid w:val="00C62018"/>
    <w:rsid w:val="00C620DD"/>
    <w:rsid w:val="00C621D2"/>
    <w:rsid w:val="00C627BC"/>
    <w:rsid w:val="00C62D58"/>
    <w:rsid w:val="00C6339A"/>
    <w:rsid w:val="00C63653"/>
    <w:rsid w:val="00C63E29"/>
    <w:rsid w:val="00C64168"/>
    <w:rsid w:val="00C64197"/>
    <w:rsid w:val="00C6436F"/>
    <w:rsid w:val="00C643D2"/>
    <w:rsid w:val="00C6479D"/>
    <w:rsid w:val="00C64A2E"/>
    <w:rsid w:val="00C64C78"/>
    <w:rsid w:val="00C6506A"/>
    <w:rsid w:val="00C65456"/>
    <w:rsid w:val="00C654AA"/>
    <w:rsid w:val="00C65677"/>
    <w:rsid w:val="00C66FE3"/>
    <w:rsid w:val="00C6756E"/>
    <w:rsid w:val="00C67BEE"/>
    <w:rsid w:val="00C67D76"/>
    <w:rsid w:val="00C67D97"/>
    <w:rsid w:val="00C67DF3"/>
    <w:rsid w:val="00C6B252"/>
    <w:rsid w:val="00C709BC"/>
    <w:rsid w:val="00C716C4"/>
    <w:rsid w:val="00C718B9"/>
    <w:rsid w:val="00C71DA8"/>
    <w:rsid w:val="00C71F41"/>
    <w:rsid w:val="00C72FAC"/>
    <w:rsid w:val="00C73474"/>
    <w:rsid w:val="00C7439A"/>
    <w:rsid w:val="00C74BD5"/>
    <w:rsid w:val="00C74FC1"/>
    <w:rsid w:val="00C75800"/>
    <w:rsid w:val="00C75999"/>
    <w:rsid w:val="00C75D0A"/>
    <w:rsid w:val="00C75F2A"/>
    <w:rsid w:val="00C77981"/>
    <w:rsid w:val="00C77D58"/>
    <w:rsid w:val="00C77FA5"/>
    <w:rsid w:val="00C805B5"/>
    <w:rsid w:val="00C813F1"/>
    <w:rsid w:val="00C81627"/>
    <w:rsid w:val="00C8170A"/>
    <w:rsid w:val="00C8182C"/>
    <w:rsid w:val="00C81908"/>
    <w:rsid w:val="00C8203F"/>
    <w:rsid w:val="00C822C7"/>
    <w:rsid w:val="00C822F7"/>
    <w:rsid w:val="00C8259B"/>
    <w:rsid w:val="00C82DF5"/>
    <w:rsid w:val="00C82EA5"/>
    <w:rsid w:val="00C830C6"/>
    <w:rsid w:val="00C83581"/>
    <w:rsid w:val="00C835B0"/>
    <w:rsid w:val="00C83C7D"/>
    <w:rsid w:val="00C83DB3"/>
    <w:rsid w:val="00C83EF3"/>
    <w:rsid w:val="00C84551"/>
    <w:rsid w:val="00C84E91"/>
    <w:rsid w:val="00C85094"/>
    <w:rsid w:val="00C85526"/>
    <w:rsid w:val="00C85BD4"/>
    <w:rsid w:val="00C85C51"/>
    <w:rsid w:val="00C85C7F"/>
    <w:rsid w:val="00C86D8E"/>
    <w:rsid w:val="00C87798"/>
    <w:rsid w:val="00C878C5"/>
    <w:rsid w:val="00C87A5F"/>
    <w:rsid w:val="00C87B1A"/>
    <w:rsid w:val="00C902AB"/>
    <w:rsid w:val="00C90426"/>
    <w:rsid w:val="00C90C67"/>
    <w:rsid w:val="00C90F4B"/>
    <w:rsid w:val="00C91005"/>
    <w:rsid w:val="00C91075"/>
    <w:rsid w:val="00C91A79"/>
    <w:rsid w:val="00C927D2"/>
    <w:rsid w:val="00C92D1E"/>
    <w:rsid w:val="00C92FC1"/>
    <w:rsid w:val="00C931D9"/>
    <w:rsid w:val="00C93838"/>
    <w:rsid w:val="00C93847"/>
    <w:rsid w:val="00C93D70"/>
    <w:rsid w:val="00C93E91"/>
    <w:rsid w:val="00C947F7"/>
    <w:rsid w:val="00C94A42"/>
    <w:rsid w:val="00C94DF2"/>
    <w:rsid w:val="00C94DFE"/>
    <w:rsid w:val="00C950E8"/>
    <w:rsid w:val="00C95B7A"/>
    <w:rsid w:val="00C95B7B"/>
    <w:rsid w:val="00C95C6A"/>
    <w:rsid w:val="00C95D5D"/>
    <w:rsid w:val="00C96425"/>
    <w:rsid w:val="00C964AF"/>
    <w:rsid w:val="00C9666D"/>
    <w:rsid w:val="00C97443"/>
    <w:rsid w:val="00C97D14"/>
    <w:rsid w:val="00CA0923"/>
    <w:rsid w:val="00CA0C0C"/>
    <w:rsid w:val="00CA1139"/>
    <w:rsid w:val="00CA1203"/>
    <w:rsid w:val="00CA1546"/>
    <w:rsid w:val="00CA1C1A"/>
    <w:rsid w:val="00CA1DF4"/>
    <w:rsid w:val="00CA24AB"/>
    <w:rsid w:val="00CA2D0B"/>
    <w:rsid w:val="00CA2E82"/>
    <w:rsid w:val="00CA308E"/>
    <w:rsid w:val="00CA36FA"/>
    <w:rsid w:val="00CA3A1D"/>
    <w:rsid w:val="00CA3B1F"/>
    <w:rsid w:val="00CA3BCB"/>
    <w:rsid w:val="00CA4418"/>
    <w:rsid w:val="00CA4479"/>
    <w:rsid w:val="00CA44FC"/>
    <w:rsid w:val="00CA4AFC"/>
    <w:rsid w:val="00CA4B28"/>
    <w:rsid w:val="00CA4E20"/>
    <w:rsid w:val="00CA5050"/>
    <w:rsid w:val="00CA5823"/>
    <w:rsid w:val="00CA5851"/>
    <w:rsid w:val="00CA650E"/>
    <w:rsid w:val="00CA6807"/>
    <w:rsid w:val="00CA790E"/>
    <w:rsid w:val="00CB0007"/>
    <w:rsid w:val="00CB05AE"/>
    <w:rsid w:val="00CB0837"/>
    <w:rsid w:val="00CB09E6"/>
    <w:rsid w:val="00CB0CA0"/>
    <w:rsid w:val="00CB0E77"/>
    <w:rsid w:val="00CB0FE2"/>
    <w:rsid w:val="00CB17F0"/>
    <w:rsid w:val="00CB1C0B"/>
    <w:rsid w:val="00CB2B3B"/>
    <w:rsid w:val="00CB32DE"/>
    <w:rsid w:val="00CB3989"/>
    <w:rsid w:val="00CB3C89"/>
    <w:rsid w:val="00CB41B1"/>
    <w:rsid w:val="00CB4E79"/>
    <w:rsid w:val="00CB557B"/>
    <w:rsid w:val="00CB55C2"/>
    <w:rsid w:val="00CB5AD8"/>
    <w:rsid w:val="00CB5AE6"/>
    <w:rsid w:val="00CB5F5F"/>
    <w:rsid w:val="00CB5FA8"/>
    <w:rsid w:val="00CB6263"/>
    <w:rsid w:val="00CB62AA"/>
    <w:rsid w:val="00CB6398"/>
    <w:rsid w:val="00CB64A5"/>
    <w:rsid w:val="00CB6A98"/>
    <w:rsid w:val="00CB73E8"/>
    <w:rsid w:val="00CB7705"/>
    <w:rsid w:val="00CB7F8C"/>
    <w:rsid w:val="00CC006E"/>
    <w:rsid w:val="00CC0429"/>
    <w:rsid w:val="00CC0778"/>
    <w:rsid w:val="00CC1658"/>
    <w:rsid w:val="00CC1708"/>
    <w:rsid w:val="00CC255C"/>
    <w:rsid w:val="00CC279A"/>
    <w:rsid w:val="00CC2B5C"/>
    <w:rsid w:val="00CC2C2A"/>
    <w:rsid w:val="00CC3305"/>
    <w:rsid w:val="00CC3CF4"/>
    <w:rsid w:val="00CC3E4A"/>
    <w:rsid w:val="00CC4C8E"/>
    <w:rsid w:val="00CC4F0E"/>
    <w:rsid w:val="00CC5886"/>
    <w:rsid w:val="00CC5D63"/>
    <w:rsid w:val="00CC6777"/>
    <w:rsid w:val="00CC696D"/>
    <w:rsid w:val="00CC6D11"/>
    <w:rsid w:val="00CC70FD"/>
    <w:rsid w:val="00CC729C"/>
    <w:rsid w:val="00CC7714"/>
    <w:rsid w:val="00CC79B5"/>
    <w:rsid w:val="00CC7A30"/>
    <w:rsid w:val="00CD009F"/>
    <w:rsid w:val="00CD01F4"/>
    <w:rsid w:val="00CD09C7"/>
    <w:rsid w:val="00CD130E"/>
    <w:rsid w:val="00CD1860"/>
    <w:rsid w:val="00CD1AB7"/>
    <w:rsid w:val="00CD1B23"/>
    <w:rsid w:val="00CD1B57"/>
    <w:rsid w:val="00CD1C8B"/>
    <w:rsid w:val="00CD2791"/>
    <w:rsid w:val="00CD2C2C"/>
    <w:rsid w:val="00CD34CF"/>
    <w:rsid w:val="00CD3A3D"/>
    <w:rsid w:val="00CD3AC2"/>
    <w:rsid w:val="00CD3FFE"/>
    <w:rsid w:val="00CD4B20"/>
    <w:rsid w:val="00CD543B"/>
    <w:rsid w:val="00CD5521"/>
    <w:rsid w:val="00CD57CE"/>
    <w:rsid w:val="00CD6132"/>
    <w:rsid w:val="00CD64CB"/>
    <w:rsid w:val="00CD6690"/>
    <w:rsid w:val="00CD6D4A"/>
    <w:rsid w:val="00CD6F80"/>
    <w:rsid w:val="00CD7A07"/>
    <w:rsid w:val="00CE0B47"/>
    <w:rsid w:val="00CE1CFC"/>
    <w:rsid w:val="00CE203F"/>
    <w:rsid w:val="00CE23FE"/>
    <w:rsid w:val="00CE251A"/>
    <w:rsid w:val="00CE2C1D"/>
    <w:rsid w:val="00CE3A67"/>
    <w:rsid w:val="00CE3C63"/>
    <w:rsid w:val="00CE3DF2"/>
    <w:rsid w:val="00CE4267"/>
    <w:rsid w:val="00CE4C49"/>
    <w:rsid w:val="00CE56B2"/>
    <w:rsid w:val="00CE642C"/>
    <w:rsid w:val="00CE6727"/>
    <w:rsid w:val="00CE737A"/>
    <w:rsid w:val="00CE7EF4"/>
    <w:rsid w:val="00CF0564"/>
    <w:rsid w:val="00CF0A7B"/>
    <w:rsid w:val="00CF0C60"/>
    <w:rsid w:val="00CF12DF"/>
    <w:rsid w:val="00CF1A21"/>
    <w:rsid w:val="00CF1AE2"/>
    <w:rsid w:val="00CF2451"/>
    <w:rsid w:val="00CF2ACE"/>
    <w:rsid w:val="00CF2C8E"/>
    <w:rsid w:val="00CF3324"/>
    <w:rsid w:val="00CF34CC"/>
    <w:rsid w:val="00CF54C9"/>
    <w:rsid w:val="00CF55C7"/>
    <w:rsid w:val="00CF5766"/>
    <w:rsid w:val="00CF5A66"/>
    <w:rsid w:val="00CF5C88"/>
    <w:rsid w:val="00CF6663"/>
    <w:rsid w:val="00CF6713"/>
    <w:rsid w:val="00D0065C"/>
    <w:rsid w:val="00D01668"/>
    <w:rsid w:val="00D018D1"/>
    <w:rsid w:val="00D019B8"/>
    <w:rsid w:val="00D01BCB"/>
    <w:rsid w:val="00D0241F"/>
    <w:rsid w:val="00D02AD6"/>
    <w:rsid w:val="00D02E1D"/>
    <w:rsid w:val="00D034AD"/>
    <w:rsid w:val="00D0389A"/>
    <w:rsid w:val="00D03958"/>
    <w:rsid w:val="00D039E0"/>
    <w:rsid w:val="00D03A7A"/>
    <w:rsid w:val="00D03B0B"/>
    <w:rsid w:val="00D03BF6"/>
    <w:rsid w:val="00D03EE0"/>
    <w:rsid w:val="00D042EA"/>
    <w:rsid w:val="00D0449B"/>
    <w:rsid w:val="00D0470E"/>
    <w:rsid w:val="00D049E0"/>
    <w:rsid w:val="00D04D9A"/>
    <w:rsid w:val="00D0511F"/>
    <w:rsid w:val="00D0537B"/>
    <w:rsid w:val="00D05754"/>
    <w:rsid w:val="00D05EE6"/>
    <w:rsid w:val="00D066A3"/>
    <w:rsid w:val="00D0688E"/>
    <w:rsid w:val="00D06E39"/>
    <w:rsid w:val="00D06E58"/>
    <w:rsid w:val="00D070C8"/>
    <w:rsid w:val="00D070DA"/>
    <w:rsid w:val="00D07A4D"/>
    <w:rsid w:val="00D1055F"/>
    <w:rsid w:val="00D10844"/>
    <w:rsid w:val="00D10B14"/>
    <w:rsid w:val="00D10D98"/>
    <w:rsid w:val="00D11EC1"/>
    <w:rsid w:val="00D12031"/>
    <w:rsid w:val="00D12A68"/>
    <w:rsid w:val="00D12FED"/>
    <w:rsid w:val="00D1315D"/>
    <w:rsid w:val="00D1340D"/>
    <w:rsid w:val="00D137B9"/>
    <w:rsid w:val="00D140A9"/>
    <w:rsid w:val="00D142D1"/>
    <w:rsid w:val="00D144C5"/>
    <w:rsid w:val="00D14707"/>
    <w:rsid w:val="00D148BE"/>
    <w:rsid w:val="00D14BD0"/>
    <w:rsid w:val="00D14D38"/>
    <w:rsid w:val="00D152B4"/>
    <w:rsid w:val="00D1539D"/>
    <w:rsid w:val="00D1539F"/>
    <w:rsid w:val="00D15D3B"/>
    <w:rsid w:val="00D15F1C"/>
    <w:rsid w:val="00D162F5"/>
    <w:rsid w:val="00D167AA"/>
    <w:rsid w:val="00D168AE"/>
    <w:rsid w:val="00D16A31"/>
    <w:rsid w:val="00D16BDD"/>
    <w:rsid w:val="00D16CDB"/>
    <w:rsid w:val="00D16E1E"/>
    <w:rsid w:val="00D16F2F"/>
    <w:rsid w:val="00D17201"/>
    <w:rsid w:val="00D1768C"/>
    <w:rsid w:val="00D17956"/>
    <w:rsid w:val="00D17985"/>
    <w:rsid w:val="00D17A25"/>
    <w:rsid w:val="00D17A28"/>
    <w:rsid w:val="00D206DE"/>
    <w:rsid w:val="00D20910"/>
    <w:rsid w:val="00D20A09"/>
    <w:rsid w:val="00D20A54"/>
    <w:rsid w:val="00D20C8E"/>
    <w:rsid w:val="00D215AE"/>
    <w:rsid w:val="00D21699"/>
    <w:rsid w:val="00D21B99"/>
    <w:rsid w:val="00D2221B"/>
    <w:rsid w:val="00D222DD"/>
    <w:rsid w:val="00D22668"/>
    <w:rsid w:val="00D22880"/>
    <w:rsid w:val="00D22908"/>
    <w:rsid w:val="00D22931"/>
    <w:rsid w:val="00D22CA9"/>
    <w:rsid w:val="00D22FA8"/>
    <w:rsid w:val="00D236DE"/>
    <w:rsid w:val="00D239AD"/>
    <w:rsid w:val="00D23A3D"/>
    <w:rsid w:val="00D243EC"/>
    <w:rsid w:val="00D24BA0"/>
    <w:rsid w:val="00D24DB4"/>
    <w:rsid w:val="00D25094"/>
    <w:rsid w:val="00D250D7"/>
    <w:rsid w:val="00D25607"/>
    <w:rsid w:val="00D25EDA"/>
    <w:rsid w:val="00D2630F"/>
    <w:rsid w:val="00D263B9"/>
    <w:rsid w:val="00D26674"/>
    <w:rsid w:val="00D27152"/>
    <w:rsid w:val="00D27514"/>
    <w:rsid w:val="00D275E8"/>
    <w:rsid w:val="00D27F58"/>
    <w:rsid w:val="00D303EC"/>
    <w:rsid w:val="00D304D5"/>
    <w:rsid w:val="00D3065A"/>
    <w:rsid w:val="00D30A37"/>
    <w:rsid w:val="00D30A9E"/>
    <w:rsid w:val="00D30B4A"/>
    <w:rsid w:val="00D30E14"/>
    <w:rsid w:val="00D30E8E"/>
    <w:rsid w:val="00D312DB"/>
    <w:rsid w:val="00D3196B"/>
    <w:rsid w:val="00D31FC5"/>
    <w:rsid w:val="00D320BB"/>
    <w:rsid w:val="00D322A4"/>
    <w:rsid w:val="00D32398"/>
    <w:rsid w:val="00D3258E"/>
    <w:rsid w:val="00D33184"/>
    <w:rsid w:val="00D33384"/>
    <w:rsid w:val="00D33DAF"/>
    <w:rsid w:val="00D34046"/>
    <w:rsid w:val="00D350F3"/>
    <w:rsid w:val="00D35957"/>
    <w:rsid w:val="00D359AE"/>
    <w:rsid w:val="00D35ABC"/>
    <w:rsid w:val="00D36183"/>
    <w:rsid w:val="00D361A7"/>
    <w:rsid w:val="00D3640E"/>
    <w:rsid w:val="00D36747"/>
    <w:rsid w:val="00D36E70"/>
    <w:rsid w:val="00D36E7C"/>
    <w:rsid w:val="00D36F39"/>
    <w:rsid w:val="00D37BAB"/>
    <w:rsid w:val="00D37BF8"/>
    <w:rsid w:val="00D37C16"/>
    <w:rsid w:val="00D37F84"/>
    <w:rsid w:val="00D405F9"/>
    <w:rsid w:val="00D4068B"/>
    <w:rsid w:val="00D40B3B"/>
    <w:rsid w:val="00D41440"/>
    <w:rsid w:val="00D4155F"/>
    <w:rsid w:val="00D424FD"/>
    <w:rsid w:val="00D42667"/>
    <w:rsid w:val="00D427F6"/>
    <w:rsid w:val="00D4299C"/>
    <w:rsid w:val="00D42E80"/>
    <w:rsid w:val="00D43048"/>
    <w:rsid w:val="00D43172"/>
    <w:rsid w:val="00D4360F"/>
    <w:rsid w:val="00D43921"/>
    <w:rsid w:val="00D44026"/>
    <w:rsid w:val="00D4450E"/>
    <w:rsid w:val="00D44512"/>
    <w:rsid w:val="00D448C6"/>
    <w:rsid w:val="00D449AD"/>
    <w:rsid w:val="00D44CB6"/>
    <w:rsid w:val="00D4531B"/>
    <w:rsid w:val="00D45728"/>
    <w:rsid w:val="00D45DCF"/>
    <w:rsid w:val="00D46013"/>
    <w:rsid w:val="00D466FC"/>
    <w:rsid w:val="00D475AC"/>
    <w:rsid w:val="00D47946"/>
    <w:rsid w:val="00D47EE8"/>
    <w:rsid w:val="00D50AD6"/>
    <w:rsid w:val="00D50BF1"/>
    <w:rsid w:val="00D51747"/>
    <w:rsid w:val="00D5225F"/>
    <w:rsid w:val="00D5237D"/>
    <w:rsid w:val="00D52586"/>
    <w:rsid w:val="00D5364B"/>
    <w:rsid w:val="00D53737"/>
    <w:rsid w:val="00D53CCA"/>
    <w:rsid w:val="00D53FE2"/>
    <w:rsid w:val="00D54696"/>
    <w:rsid w:val="00D548E3"/>
    <w:rsid w:val="00D54C33"/>
    <w:rsid w:val="00D5584E"/>
    <w:rsid w:val="00D55E4D"/>
    <w:rsid w:val="00D55EB4"/>
    <w:rsid w:val="00D5671C"/>
    <w:rsid w:val="00D56846"/>
    <w:rsid w:val="00D570F0"/>
    <w:rsid w:val="00D57A1D"/>
    <w:rsid w:val="00D57B44"/>
    <w:rsid w:val="00D6072A"/>
    <w:rsid w:val="00D609E3"/>
    <w:rsid w:val="00D60B2B"/>
    <w:rsid w:val="00D60CAD"/>
    <w:rsid w:val="00D60D5B"/>
    <w:rsid w:val="00D61843"/>
    <w:rsid w:val="00D619A6"/>
    <w:rsid w:val="00D61E9A"/>
    <w:rsid w:val="00D62106"/>
    <w:rsid w:val="00D623BB"/>
    <w:rsid w:val="00D628F1"/>
    <w:rsid w:val="00D6292B"/>
    <w:rsid w:val="00D629B2"/>
    <w:rsid w:val="00D62BBF"/>
    <w:rsid w:val="00D62BC9"/>
    <w:rsid w:val="00D63629"/>
    <w:rsid w:val="00D639D1"/>
    <w:rsid w:val="00D63C4D"/>
    <w:rsid w:val="00D640E7"/>
    <w:rsid w:val="00D65013"/>
    <w:rsid w:val="00D652C3"/>
    <w:rsid w:val="00D6567A"/>
    <w:rsid w:val="00D6583D"/>
    <w:rsid w:val="00D65A73"/>
    <w:rsid w:val="00D65DC3"/>
    <w:rsid w:val="00D65F80"/>
    <w:rsid w:val="00D66697"/>
    <w:rsid w:val="00D66A7B"/>
    <w:rsid w:val="00D6701A"/>
    <w:rsid w:val="00D676CA"/>
    <w:rsid w:val="00D679C8"/>
    <w:rsid w:val="00D67B3C"/>
    <w:rsid w:val="00D67C68"/>
    <w:rsid w:val="00D67D03"/>
    <w:rsid w:val="00D67EF9"/>
    <w:rsid w:val="00D67F28"/>
    <w:rsid w:val="00D702B9"/>
    <w:rsid w:val="00D70449"/>
    <w:rsid w:val="00D70756"/>
    <w:rsid w:val="00D70ACC"/>
    <w:rsid w:val="00D71412"/>
    <w:rsid w:val="00D7155A"/>
    <w:rsid w:val="00D715A9"/>
    <w:rsid w:val="00D71EF5"/>
    <w:rsid w:val="00D71FF6"/>
    <w:rsid w:val="00D72B9E"/>
    <w:rsid w:val="00D72BCC"/>
    <w:rsid w:val="00D73ECD"/>
    <w:rsid w:val="00D74192"/>
    <w:rsid w:val="00D7479E"/>
    <w:rsid w:val="00D74C08"/>
    <w:rsid w:val="00D74C31"/>
    <w:rsid w:val="00D74EC4"/>
    <w:rsid w:val="00D75B3C"/>
    <w:rsid w:val="00D760A8"/>
    <w:rsid w:val="00D763BD"/>
    <w:rsid w:val="00D773C6"/>
    <w:rsid w:val="00D77684"/>
    <w:rsid w:val="00D77798"/>
    <w:rsid w:val="00D77D5E"/>
    <w:rsid w:val="00D80625"/>
    <w:rsid w:val="00D8147E"/>
    <w:rsid w:val="00D8188F"/>
    <w:rsid w:val="00D81A7B"/>
    <w:rsid w:val="00D81BF6"/>
    <w:rsid w:val="00D81E7B"/>
    <w:rsid w:val="00D8242A"/>
    <w:rsid w:val="00D83540"/>
    <w:rsid w:val="00D83C52"/>
    <w:rsid w:val="00D83E7C"/>
    <w:rsid w:val="00D83EF3"/>
    <w:rsid w:val="00D84AE9"/>
    <w:rsid w:val="00D85622"/>
    <w:rsid w:val="00D8562D"/>
    <w:rsid w:val="00D86513"/>
    <w:rsid w:val="00D868FD"/>
    <w:rsid w:val="00D86ADD"/>
    <w:rsid w:val="00D86F5A"/>
    <w:rsid w:val="00D86FFA"/>
    <w:rsid w:val="00D8745F"/>
    <w:rsid w:val="00D874D4"/>
    <w:rsid w:val="00D8753C"/>
    <w:rsid w:val="00D87877"/>
    <w:rsid w:val="00D8788B"/>
    <w:rsid w:val="00D90835"/>
    <w:rsid w:val="00D908E7"/>
    <w:rsid w:val="00D90B21"/>
    <w:rsid w:val="00D917B6"/>
    <w:rsid w:val="00D91CF1"/>
    <w:rsid w:val="00D92247"/>
    <w:rsid w:val="00D9279A"/>
    <w:rsid w:val="00D92808"/>
    <w:rsid w:val="00D928DD"/>
    <w:rsid w:val="00D92E21"/>
    <w:rsid w:val="00D92FE1"/>
    <w:rsid w:val="00D933F2"/>
    <w:rsid w:val="00D935DD"/>
    <w:rsid w:val="00D94273"/>
    <w:rsid w:val="00D942C2"/>
    <w:rsid w:val="00D9486F"/>
    <w:rsid w:val="00D94F76"/>
    <w:rsid w:val="00D953FB"/>
    <w:rsid w:val="00D95527"/>
    <w:rsid w:val="00D95938"/>
    <w:rsid w:val="00D95B8A"/>
    <w:rsid w:val="00D96407"/>
    <w:rsid w:val="00D96505"/>
    <w:rsid w:val="00D96527"/>
    <w:rsid w:val="00D97190"/>
    <w:rsid w:val="00D97CD3"/>
    <w:rsid w:val="00D97E2C"/>
    <w:rsid w:val="00D9E0AB"/>
    <w:rsid w:val="00DA0194"/>
    <w:rsid w:val="00DA04B1"/>
    <w:rsid w:val="00DA1B52"/>
    <w:rsid w:val="00DA1BE3"/>
    <w:rsid w:val="00DA26E0"/>
    <w:rsid w:val="00DA2E33"/>
    <w:rsid w:val="00DA2E9C"/>
    <w:rsid w:val="00DA3BDF"/>
    <w:rsid w:val="00DA3CDA"/>
    <w:rsid w:val="00DA3E20"/>
    <w:rsid w:val="00DA423F"/>
    <w:rsid w:val="00DA4677"/>
    <w:rsid w:val="00DA46A8"/>
    <w:rsid w:val="00DA4978"/>
    <w:rsid w:val="00DA4BBA"/>
    <w:rsid w:val="00DA4CE3"/>
    <w:rsid w:val="00DA4F10"/>
    <w:rsid w:val="00DA5164"/>
    <w:rsid w:val="00DA5311"/>
    <w:rsid w:val="00DA5530"/>
    <w:rsid w:val="00DA56F9"/>
    <w:rsid w:val="00DA6EA1"/>
    <w:rsid w:val="00DA6F64"/>
    <w:rsid w:val="00DA776A"/>
    <w:rsid w:val="00DA7794"/>
    <w:rsid w:val="00DB0030"/>
    <w:rsid w:val="00DB0160"/>
    <w:rsid w:val="00DB0177"/>
    <w:rsid w:val="00DB0A59"/>
    <w:rsid w:val="00DB14FC"/>
    <w:rsid w:val="00DB1747"/>
    <w:rsid w:val="00DB1D2D"/>
    <w:rsid w:val="00DB1DBC"/>
    <w:rsid w:val="00DB222B"/>
    <w:rsid w:val="00DB22E1"/>
    <w:rsid w:val="00DB389B"/>
    <w:rsid w:val="00DB38B0"/>
    <w:rsid w:val="00DB3A36"/>
    <w:rsid w:val="00DB3E31"/>
    <w:rsid w:val="00DB3F11"/>
    <w:rsid w:val="00DB40F2"/>
    <w:rsid w:val="00DB4284"/>
    <w:rsid w:val="00DB4732"/>
    <w:rsid w:val="00DB485B"/>
    <w:rsid w:val="00DB4BF4"/>
    <w:rsid w:val="00DB4E80"/>
    <w:rsid w:val="00DB51DD"/>
    <w:rsid w:val="00DB54C2"/>
    <w:rsid w:val="00DB60D4"/>
    <w:rsid w:val="00DB627B"/>
    <w:rsid w:val="00DB6484"/>
    <w:rsid w:val="00DB65C5"/>
    <w:rsid w:val="00DB6E6E"/>
    <w:rsid w:val="00DB745F"/>
    <w:rsid w:val="00DC0427"/>
    <w:rsid w:val="00DC090A"/>
    <w:rsid w:val="00DC0E66"/>
    <w:rsid w:val="00DC1469"/>
    <w:rsid w:val="00DC1D82"/>
    <w:rsid w:val="00DC23E0"/>
    <w:rsid w:val="00DC303C"/>
    <w:rsid w:val="00DC4BCA"/>
    <w:rsid w:val="00DC4F63"/>
    <w:rsid w:val="00DC5362"/>
    <w:rsid w:val="00DC54AB"/>
    <w:rsid w:val="00DC55A6"/>
    <w:rsid w:val="00DC640A"/>
    <w:rsid w:val="00DC6A67"/>
    <w:rsid w:val="00DC7A72"/>
    <w:rsid w:val="00DD07E5"/>
    <w:rsid w:val="00DD0887"/>
    <w:rsid w:val="00DD09AA"/>
    <w:rsid w:val="00DD0D97"/>
    <w:rsid w:val="00DD0E8A"/>
    <w:rsid w:val="00DD1036"/>
    <w:rsid w:val="00DD11AB"/>
    <w:rsid w:val="00DD1276"/>
    <w:rsid w:val="00DD1717"/>
    <w:rsid w:val="00DD18C2"/>
    <w:rsid w:val="00DD1921"/>
    <w:rsid w:val="00DD21DF"/>
    <w:rsid w:val="00DD227F"/>
    <w:rsid w:val="00DD230F"/>
    <w:rsid w:val="00DD26D8"/>
    <w:rsid w:val="00DD2913"/>
    <w:rsid w:val="00DD2996"/>
    <w:rsid w:val="00DD2CD9"/>
    <w:rsid w:val="00DD2ECF"/>
    <w:rsid w:val="00DD37AC"/>
    <w:rsid w:val="00DD39C3"/>
    <w:rsid w:val="00DD3A1E"/>
    <w:rsid w:val="00DD4225"/>
    <w:rsid w:val="00DD4450"/>
    <w:rsid w:val="00DD4A6E"/>
    <w:rsid w:val="00DD4D6B"/>
    <w:rsid w:val="00DD5279"/>
    <w:rsid w:val="00DD5322"/>
    <w:rsid w:val="00DD540D"/>
    <w:rsid w:val="00DD5884"/>
    <w:rsid w:val="00DD5EE9"/>
    <w:rsid w:val="00DD614C"/>
    <w:rsid w:val="00DD6184"/>
    <w:rsid w:val="00DD6466"/>
    <w:rsid w:val="00DD6564"/>
    <w:rsid w:val="00DD69D0"/>
    <w:rsid w:val="00DD7180"/>
    <w:rsid w:val="00DD7548"/>
    <w:rsid w:val="00DD77C6"/>
    <w:rsid w:val="00DD77DE"/>
    <w:rsid w:val="00DD786F"/>
    <w:rsid w:val="00DD7BA3"/>
    <w:rsid w:val="00DD7ED5"/>
    <w:rsid w:val="00DE02BB"/>
    <w:rsid w:val="00DE0EF6"/>
    <w:rsid w:val="00DE0F81"/>
    <w:rsid w:val="00DE133F"/>
    <w:rsid w:val="00DE14D7"/>
    <w:rsid w:val="00DE161A"/>
    <w:rsid w:val="00DE1C0A"/>
    <w:rsid w:val="00DE21BC"/>
    <w:rsid w:val="00DE2979"/>
    <w:rsid w:val="00DE2D0D"/>
    <w:rsid w:val="00DE3925"/>
    <w:rsid w:val="00DE3D66"/>
    <w:rsid w:val="00DE3EAA"/>
    <w:rsid w:val="00DE450E"/>
    <w:rsid w:val="00DE4546"/>
    <w:rsid w:val="00DE4BC8"/>
    <w:rsid w:val="00DE4FD2"/>
    <w:rsid w:val="00DE5055"/>
    <w:rsid w:val="00DE50C4"/>
    <w:rsid w:val="00DE67CC"/>
    <w:rsid w:val="00DE6919"/>
    <w:rsid w:val="00DE6943"/>
    <w:rsid w:val="00DE69AF"/>
    <w:rsid w:val="00DE7030"/>
    <w:rsid w:val="00DE72C4"/>
    <w:rsid w:val="00DF06D9"/>
    <w:rsid w:val="00DF07BD"/>
    <w:rsid w:val="00DF0944"/>
    <w:rsid w:val="00DF1520"/>
    <w:rsid w:val="00DF162D"/>
    <w:rsid w:val="00DF2193"/>
    <w:rsid w:val="00DF276C"/>
    <w:rsid w:val="00DF2F59"/>
    <w:rsid w:val="00DF30F5"/>
    <w:rsid w:val="00DF3344"/>
    <w:rsid w:val="00DF4832"/>
    <w:rsid w:val="00DF4CE1"/>
    <w:rsid w:val="00DF51C6"/>
    <w:rsid w:val="00DF52AF"/>
    <w:rsid w:val="00DF614D"/>
    <w:rsid w:val="00DF688A"/>
    <w:rsid w:val="00DF6994"/>
    <w:rsid w:val="00DF69E8"/>
    <w:rsid w:val="00DF6F6C"/>
    <w:rsid w:val="00DF7400"/>
    <w:rsid w:val="00DF7E8C"/>
    <w:rsid w:val="00E00081"/>
    <w:rsid w:val="00E00B0B"/>
    <w:rsid w:val="00E015E5"/>
    <w:rsid w:val="00E02713"/>
    <w:rsid w:val="00E02B51"/>
    <w:rsid w:val="00E02F78"/>
    <w:rsid w:val="00E03398"/>
    <w:rsid w:val="00E03D4C"/>
    <w:rsid w:val="00E0444F"/>
    <w:rsid w:val="00E04749"/>
    <w:rsid w:val="00E04E47"/>
    <w:rsid w:val="00E04F6D"/>
    <w:rsid w:val="00E0519A"/>
    <w:rsid w:val="00E052B8"/>
    <w:rsid w:val="00E053CF"/>
    <w:rsid w:val="00E0589D"/>
    <w:rsid w:val="00E05A7B"/>
    <w:rsid w:val="00E05BBD"/>
    <w:rsid w:val="00E05F06"/>
    <w:rsid w:val="00E06B78"/>
    <w:rsid w:val="00E06E09"/>
    <w:rsid w:val="00E0756F"/>
    <w:rsid w:val="00E076E0"/>
    <w:rsid w:val="00E07DF5"/>
    <w:rsid w:val="00E07E6D"/>
    <w:rsid w:val="00E10289"/>
    <w:rsid w:val="00E10526"/>
    <w:rsid w:val="00E10D47"/>
    <w:rsid w:val="00E10D51"/>
    <w:rsid w:val="00E1120B"/>
    <w:rsid w:val="00E112BD"/>
    <w:rsid w:val="00E11BC2"/>
    <w:rsid w:val="00E11CA7"/>
    <w:rsid w:val="00E12193"/>
    <w:rsid w:val="00E1249F"/>
    <w:rsid w:val="00E12539"/>
    <w:rsid w:val="00E12CFB"/>
    <w:rsid w:val="00E12E5A"/>
    <w:rsid w:val="00E13AB3"/>
    <w:rsid w:val="00E13B68"/>
    <w:rsid w:val="00E14173"/>
    <w:rsid w:val="00E1425D"/>
    <w:rsid w:val="00E14C89"/>
    <w:rsid w:val="00E1620F"/>
    <w:rsid w:val="00E175D4"/>
    <w:rsid w:val="00E2000C"/>
    <w:rsid w:val="00E2006C"/>
    <w:rsid w:val="00E20140"/>
    <w:rsid w:val="00E20362"/>
    <w:rsid w:val="00E20662"/>
    <w:rsid w:val="00E208D8"/>
    <w:rsid w:val="00E2094D"/>
    <w:rsid w:val="00E210F0"/>
    <w:rsid w:val="00E212B6"/>
    <w:rsid w:val="00E212E7"/>
    <w:rsid w:val="00E214A1"/>
    <w:rsid w:val="00E22D31"/>
    <w:rsid w:val="00E22E15"/>
    <w:rsid w:val="00E2301F"/>
    <w:rsid w:val="00E2382E"/>
    <w:rsid w:val="00E23AA4"/>
    <w:rsid w:val="00E243FD"/>
    <w:rsid w:val="00E248E1"/>
    <w:rsid w:val="00E249BF"/>
    <w:rsid w:val="00E24C2B"/>
    <w:rsid w:val="00E25DFF"/>
    <w:rsid w:val="00E26C1A"/>
    <w:rsid w:val="00E27321"/>
    <w:rsid w:val="00E27FAB"/>
    <w:rsid w:val="00E303E0"/>
    <w:rsid w:val="00E30943"/>
    <w:rsid w:val="00E30B28"/>
    <w:rsid w:val="00E30DB8"/>
    <w:rsid w:val="00E30EAD"/>
    <w:rsid w:val="00E3141E"/>
    <w:rsid w:val="00E3148F"/>
    <w:rsid w:val="00E3218F"/>
    <w:rsid w:val="00E322CB"/>
    <w:rsid w:val="00E32767"/>
    <w:rsid w:val="00E32C33"/>
    <w:rsid w:val="00E32ED3"/>
    <w:rsid w:val="00E3382C"/>
    <w:rsid w:val="00E34134"/>
    <w:rsid w:val="00E342A3"/>
    <w:rsid w:val="00E348C8"/>
    <w:rsid w:val="00E35112"/>
    <w:rsid w:val="00E35370"/>
    <w:rsid w:val="00E3541D"/>
    <w:rsid w:val="00E356F2"/>
    <w:rsid w:val="00E35F42"/>
    <w:rsid w:val="00E3608E"/>
    <w:rsid w:val="00E36258"/>
    <w:rsid w:val="00E365D4"/>
    <w:rsid w:val="00E3677A"/>
    <w:rsid w:val="00E37428"/>
    <w:rsid w:val="00E377D1"/>
    <w:rsid w:val="00E40636"/>
    <w:rsid w:val="00E407C8"/>
    <w:rsid w:val="00E413E8"/>
    <w:rsid w:val="00E4161A"/>
    <w:rsid w:val="00E419BB"/>
    <w:rsid w:val="00E422A3"/>
    <w:rsid w:val="00E42414"/>
    <w:rsid w:val="00E42629"/>
    <w:rsid w:val="00E42B4E"/>
    <w:rsid w:val="00E42F4E"/>
    <w:rsid w:val="00E4327F"/>
    <w:rsid w:val="00E4352E"/>
    <w:rsid w:val="00E43659"/>
    <w:rsid w:val="00E436C8"/>
    <w:rsid w:val="00E4388B"/>
    <w:rsid w:val="00E43C09"/>
    <w:rsid w:val="00E43F47"/>
    <w:rsid w:val="00E44177"/>
    <w:rsid w:val="00E44489"/>
    <w:rsid w:val="00E446B2"/>
    <w:rsid w:val="00E44C08"/>
    <w:rsid w:val="00E4503E"/>
    <w:rsid w:val="00E454D6"/>
    <w:rsid w:val="00E45EA5"/>
    <w:rsid w:val="00E46526"/>
    <w:rsid w:val="00E4773B"/>
    <w:rsid w:val="00E47779"/>
    <w:rsid w:val="00E47C73"/>
    <w:rsid w:val="00E503B7"/>
    <w:rsid w:val="00E50482"/>
    <w:rsid w:val="00E50C14"/>
    <w:rsid w:val="00E5117B"/>
    <w:rsid w:val="00E51834"/>
    <w:rsid w:val="00E52521"/>
    <w:rsid w:val="00E52ABC"/>
    <w:rsid w:val="00E53353"/>
    <w:rsid w:val="00E53425"/>
    <w:rsid w:val="00E535AB"/>
    <w:rsid w:val="00E5376D"/>
    <w:rsid w:val="00E538A2"/>
    <w:rsid w:val="00E54108"/>
    <w:rsid w:val="00E5425F"/>
    <w:rsid w:val="00E54533"/>
    <w:rsid w:val="00E548DE"/>
    <w:rsid w:val="00E549ED"/>
    <w:rsid w:val="00E549FC"/>
    <w:rsid w:val="00E54A92"/>
    <w:rsid w:val="00E54C17"/>
    <w:rsid w:val="00E54D0F"/>
    <w:rsid w:val="00E554E6"/>
    <w:rsid w:val="00E55CCE"/>
    <w:rsid w:val="00E55E93"/>
    <w:rsid w:val="00E56E05"/>
    <w:rsid w:val="00E5721F"/>
    <w:rsid w:val="00E57940"/>
    <w:rsid w:val="00E57E4E"/>
    <w:rsid w:val="00E60C55"/>
    <w:rsid w:val="00E60C97"/>
    <w:rsid w:val="00E6199E"/>
    <w:rsid w:val="00E61D8E"/>
    <w:rsid w:val="00E62169"/>
    <w:rsid w:val="00E62D8A"/>
    <w:rsid w:val="00E62E05"/>
    <w:rsid w:val="00E63452"/>
    <w:rsid w:val="00E63582"/>
    <w:rsid w:val="00E6396A"/>
    <w:rsid w:val="00E63DC3"/>
    <w:rsid w:val="00E63F92"/>
    <w:rsid w:val="00E64155"/>
    <w:rsid w:val="00E6416B"/>
    <w:rsid w:val="00E642D5"/>
    <w:rsid w:val="00E6489A"/>
    <w:rsid w:val="00E64C02"/>
    <w:rsid w:val="00E64E87"/>
    <w:rsid w:val="00E651A8"/>
    <w:rsid w:val="00E65946"/>
    <w:rsid w:val="00E66981"/>
    <w:rsid w:val="00E66F6B"/>
    <w:rsid w:val="00E6744E"/>
    <w:rsid w:val="00E67FA3"/>
    <w:rsid w:val="00E70842"/>
    <w:rsid w:val="00E70AB1"/>
    <w:rsid w:val="00E70FE7"/>
    <w:rsid w:val="00E71757"/>
    <w:rsid w:val="00E71F5B"/>
    <w:rsid w:val="00E727AF"/>
    <w:rsid w:val="00E72E08"/>
    <w:rsid w:val="00E72E56"/>
    <w:rsid w:val="00E730DA"/>
    <w:rsid w:val="00E7327C"/>
    <w:rsid w:val="00E73633"/>
    <w:rsid w:val="00E74747"/>
    <w:rsid w:val="00E7480B"/>
    <w:rsid w:val="00E74B3E"/>
    <w:rsid w:val="00E74F77"/>
    <w:rsid w:val="00E74FC4"/>
    <w:rsid w:val="00E7504E"/>
    <w:rsid w:val="00E75C80"/>
    <w:rsid w:val="00E75EFE"/>
    <w:rsid w:val="00E76115"/>
    <w:rsid w:val="00E76B66"/>
    <w:rsid w:val="00E76BA1"/>
    <w:rsid w:val="00E76CB5"/>
    <w:rsid w:val="00E7785F"/>
    <w:rsid w:val="00E77F6C"/>
    <w:rsid w:val="00E80197"/>
    <w:rsid w:val="00E80A8E"/>
    <w:rsid w:val="00E80FB2"/>
    <w:rsid w:val="00E8185B"/>
    <w:rsid w:val="00E81A3C"/>
    <w:rsid w:val="00E81A69"/>
    <w:rsid w:val="00E81AF8"/>
    <w:rsid w:val="00E81DB0"/>
    <w:rsid w:val="00E82E87"/>
    <w:rsid w:val="00E83257"/>
    <w:rsid w:val="00E841D5"/>
    <w:rsid w:val="00E841F2"/>
    <w:rsid w:val="00E84528"/>
    <w:rsid w:val="00E84539"/>
    <w:rsid w:val="00E846ED"/>
    <w:rsid w:val="00E84E95"/>
    <w:rsid w:val="00E862C9"/>
    <w:rsid w:val="00E863E7"/>
    <w:rsid w:val="00E8742B"/>
    <w:rsid w:val="00E87767"/>
    <w:rsid w:val="00E877B1"/>
    <w:rsid w:val="00E87D82"/>
    <w:rsid w:val="00E87ED2"/>
    <w:rsid w:val="00E9051D"/>
    <w:rsid w:val="00E90C6B"/>
    <w:rsid w:val="00E90E3A"/>
    <w:rsid w:val="00E91213"/>
    <w:rsid w:val="00E918A8"/>
    <w:rsid w:val="00E9275A"/>
    <w:rsid w:val="00E92802"/>
    <w:rsid w:val="00E9286A"/>
    <w:rsid w:val="00E92D7B"/>
    <w:rsid w:val="00E93426"/>
    <w:rsid w:val="00E935AE"/>
    <w:rsid w:val="00E94622"/>
    <w:rsid w:val="00E94FC4"/>
    <w:rsid w:val="00E96B26"/>
    <w:rsid w:val="00E96C8D"/>
    <w:rsid w:val="00E9738E"/>
    <w:rsid w:val="00E97414"/>
    <w:rsid w:val="00E975D5"/>
    <w:rsid w:val="00E97DE3"/>
    <w:rsid w:val="00E97E14"/>
    <w:rsid w:val="00EA0412"/>
    <w:rsid w:val="00EA06A4"/>
    <w:rsid w:val="00EA06FB"/>
    <w:rsid w:val="00EA16AC"/>
    <w:rsid w:val="00EA172D"/>
    <w:rsid w:val="00EA1959"/>
    <w:rsid w:val="00EA2182"/>
    <w:rsid w:val="00EA2E5F"/>
    <w:rsid w:val="00EA2EC5"/>
    <w:rsid w:val="00EA30DF"/>
    <w:rsid w:val="00EA34E8"/>
    <w:rsid w:val="00EA420D"/>
    <w:rsid w:val="00EA4A98"/>
    <w:rsid w:val="00EA4AFD"/>
    <w:rsid w:val="00EA5014"/>
    <w:rsid w:val="00EA5391"/>
    <w:rsid w:val="00EA5719"/>
    <w:rsid w:val="00EA58A3"/>
    <w:rsid w:val="00EA5FA2"/>
    <w:rsid w:val="00EA671B"/>
    <w:rsid w:val="00EA67B0"/>
    <w:rsid w:val="00EA7B40"/>
    <w:rsid w:val="00EA7CFB"/>
    <w:rsid w:val="00EB00D1"/>
    <w:rsid w:val="00EB00E1"/>
    <w:rsid w:val="00EB03AC"/>
    <w:rsid w:val="00EB048F"/>
    <w:rsid w:val="00EB04DE"/>
    <w:rsid w:val="00EB0887"/>
    <w:rsid w:val="00EB0B06"/>
    <w:rsid w:val="00EB0D65"/>
    <w:rsid w:val="00EB18A2"/>
    <w:rsid w:val="00EB18C8"/>
    <w:rsid w:val="00EB1E61"/>
    <w:rsid w:val="00EB1FE4"/>
    <w:rsid w:val="00EB21B9"/>
    <w:rsid w:val="00EB28F4"/>
    <w:rsid w:val="00EB29A1"/>
    <w:rsid w:val="00EB3044"/>
    <w:rsid w:val="00EB3AF2"/>
    <w:rsid w:val="00EB436E"/>
    <w:rsid w:val="00EB4399"/>
    <w:rsid w:val="00EB4900"/>
    <w:rsid w:val="00EB4A34"/>
    <w:rsid w:val="00EB4E7C"/>
    <w:rsid w:val="00EB545F"/>
    <w:rsid w:val="00EB5866"/>
    <w:rsid w:val="00EB59E7"/>
    <w:rsid w:val="00EB5DE4"/>
    <w:rsid w:val="00EB6253"/>
    <w:rsid w:val="00EB66AC"/>
    <w:rsid w:val="00EB68E0"/>
    <w:rsid w:val="00EB7965"/>
    <w:rsid w:val="00EB79A4"/>
    <w:rsid w:val="00EC0368"/>
    <w:rsid w:val="00EC0A16"/>
    <w:rsid w:val="00EC0D14"/>
    <w:rsid w:val="00EC1B08"/>
    <w:rsid w:val="00EC1F9F"/>
    <w:rsid w:val="00EC2125"/>
    <w:rsid w:val="00EC2C09"/>
    <w:rsid w:val="00EC30D4"/>
    <w:rsid w:val="00EC3145"/>
    <w:rsid w:val="00EC34D2"/>
    <w:rsid w:val="00EC352E"/>
    <w:rsid w:val="00EC366D"/>
    <w:rsid w:val="00EC4124"/>
    <w:rsid w:val="00EC428C"/>
    <w:rsid w:val="00EC4364"/>
    <w:rsid w:val="00EC46F1"/>
    <w:rsid w:val="00EC4A68"/>
    <w:rsid w:val="00EC57D8"/>
    <w:rsid w:val="00EC60F5"/>
    <w:rsid w:val="00EC62CD"/>
    <w:rsid w:val="00EC6858"/>
    <w:rsid w:val="00EC687C"/>
    <w:rsid w:val="00EC6CD8"/>
    <w:rsid w:val="00ED033F"/>
    <w:rsid w:val="00ED04D6"/>
    <w:rsid w:val="00ED0E2E"/>
    <w:rsid w:val="00ED15E7"/>
    <w:rsid w:val="00ED16D6"/>
    <w:rsid w:val="00ED236E"/>
    <w:rsid w:val="00ED260E"/>
    <w:rsid w:val="00ED2E52"/>
    <w:rsid w:val="00ED400D"/>
    <w:rsid w:val="00ED45F6"/>
    <w:rsid w:val="00ED4759"/>
    <w:rsid w:val="00ED5B88"/>
    <w:rsid w:val="00ED62D0"/>
    <w:rsid w:val="00ED6574"/>
    <w:rsid w:val="00ED65DA"/>
    <w:rsid w:val="00ED6B87"/>
    <w:rsid w:val="00ED6EF0"/>
    <w:rsid w:val="00ED7153"/>
    <w:rsid w:val="00ED76F3"/>
    <w:rsid w:val="00ED7CBB"/>
    <w:rsid w:val="00EE0E22"/>
    <w:rsid w:val="00EE1FFE"/>
    <w:rsid w:val="00EE28A5"/>
    <w:rsid w:val="00EE2F48"/>
    <w:rsid w:val="00EE30E9"/>
    <w:rsid w:val="00EE30F9"/>
    <w:rsid w:val="00EE353E"/>
    <w:rsid w:val="00EE3A8C"/>
    <w:rsid w:val="00EE3FD7"/>
    <w:rsid w:val="00EE4A68"/>
    <w:rsid w:val="00EE4B74"/>
    <w:rsid w:val="00EE4D1C"/>
    <w:rsid w:val="00EE4EDB"/>
    <w:rsid w:val="00EE5527"/>
    <w:rsid w:val="00EE557F"/>
    <w:rsid w:val="00EE5948"/>
    <w:rsid w:val="00EE5951"/>
    <w:rsid w:val="00EE5A2F"/>
    <w:rsid w:val="00EE5F89"/>
    <w:rsid w:val="00EE64C6"/>
    <w:rsid w:val="00EE6627"/>
    <w:rsid w:val="00EE6843"/>
    <w:rsid w:val="00EE6A0B"/>
    <w:rsid w:val="00EE6DE4"/>
    <w:rsid w:val="00EE7D28"/>
    <w:rsid w:val="00EF02F8"/>
    <w:rsid w:val="00EF0FF9"/>
    <w:rsid w:val="00EF12A8"/>
    <w:rsid w:val="00EF1692"/>
    <w:rsid w:val="00EF22E5"/>
    <w:rsid w:val="00EF24C3"/>
    <w:rsid w:val="00EF2ABD"/>
    <w:rsid w:val="00EF31B3"/>
    <w:rsid w:val="00EF41D5"/>
    <w:rsid w:val="00EF466E"/>
    <w:rsid w:val="00EF4E88"/>
    <w:rsid w:val="00EF5034"/>
    <w:rsid w:val="00EF55C0"/>
    <w:rsid w:val="00EF56E3"/>
    <w:rsid w:val="00EF5F3D"/>
    <w:rsid w:val="00EF62D5"/>
    <w:rsid w:val="00EF632E"/>
    <w:rsid w:val="00EF71C1"/>
    <w:rsid w:val="00EF7EA0"/>
    <w:rsid w:val="00F00313"/>
    <w:rsid w:val="00F008DB"/>
    <w:rsid w:val="00F01279"/>
    <w:rsid w:val="00F01598"/>
    <w:rsid w:val="00F018F7"/>
    <w:rsid w:val="00F01D32"/>
    <w:rsid w:val="00F01D97"/>
    <w:rsid w:val="00F026FF"/>
    <w:rsid w:val="00F02894"/>
    <w:rsid w:val="00F02963"/>
    <w:rsid w:val="00F02CEE"/>
    <w:rsid w:val="00F02E88"/>
    <w:rsid w:val="00F031F3"/>
    <w:rsid w:val="00F033BC"/>
    <w:rsid w:val="00F03B59"/>
    <w:rsid w:val="00F048B1"/>
    <w:rsid w:val="00F0494E"/>
    <w:rsid w:val="00F04EC4"/>
    <w:rsid w:val="00F05139"/>
    <w:rsid w:val="00F0587E"/>
    <w:rsid w:val="00F05B2B"/>
    <w:rsid w:val="00F06052"/>
    <w:rsid w:val="00F0648A"/>
    <w:rsid w:val="00F06A3B"/>
    <w:rsid w:val="00F1016F"/>
    <w:rsid w:val="00F10727"/>
    <w:rsid w:val="00F10ABA"/>
    <w:rsid w:val="00F11D20"/>
    <w:rsid w:val="00F12482"/>
    <w:rsid w:val="00F1300B"/>
    <w:rsid w:val="00F13528"/>
    <w:rsid w:val="00F13701"/>
    <w:rsid w:val="00F1430D"/>
    <w:rsid w:val="00F14370"/>
    <w:rsid w:val="00F158A2"/>
    <w:rsid w:val="00F15DC7"/>
    <w:rsid w:val="00F165A3"/>
    <w:rsid w:val="00F17AB8"/>
    <w:rsid w:val="00F17D04"/>
    <w:rsid w:val="00F17F72"/>
    <w:rsid w:val="00F17F74"/>
    <w:rsid w:val="00F203F0"/>
    <w:rsid w:val="00F2081E"/>
    <w:rsid w:val="00F211A8"/>
    <w:rsid w:val="00F21479"/>
    <w:rsid w:val="00F2175C"/>
    <w:rsid w:val="00F21C08"/>
    <w:rsid w:val="00F22A49"/>
    <w:rsid w:val="00F22D7C"/>
    <w:rsid w:val="00F23369"/>
    <w:rsid w:val="00F23501"/>
    <w:rsid w:val="00F23798"/>
    <w:rsid w:val="00F23C5A"/>
    <w:rsid w:val="00F23DD9"/>
    <w:rsid w:val="00F23E81"/>
    <w:rsid w:val="00F23E8C"/>
    <w:rsid w:val="00F248F1"/>
    <w:rsid w:val="00F24DDB"/>
    <w:rsid w:val="00F25371"/>
    <w:rsid w:val="00F25682"/>
    <w:rsid w:val="00F25F1A"/>
    <w:rsid w:val="00F25F29"/>
    <w:rsid w:val="00F26566"/>
    <w:rsid w:val="00F26988"/>
    <w:rsid w:val="00F27A16"/>
    <w:rsid w:val="00F30245"/>
    <w:rsid w:val="00F30417"/>
    <w:rsid w:val="00F304BB"/>
    <w:rsid w:val="00F30FA2"/>
    <w:rsid w:val="00F311E5"/>
    <w:rsid w:val="00F31252"/>
    <w:rsid w:val="00F319E9"/>
    <w:rsid w:val="00F31DAA"/>
    <w:rsid w:val="00F3235B"/>
    <w:rsid w:val="00F328BE"/>
    <w:rsid w:val="00F32968"/>
    <w:rsid w:val="00F33594"/>
    <w:rsid w:val="00F33662"/>
    <w:rsid w:val="00F33906"/>
    <w:rsid w:val="00F339E1"/>
    <w:rsid w:val="00F33B25"/>
    <w:rsid w:val="00F34076"/>
    <w:rsid w:val="00F34BAD"/>
    <w:rsid w:val="00F35461"/>
    <w:rsid w:val="00F35573"/>
    <w:rsid w:val="00F355BF"/>
    <w:rsid w:val="00F355F2"/>
    <w:rsid w:val="00F355FB"/>
    <w:rsid w:val="00F362CC"/>
    <w:rsid w:val="00F36F95"/>
    <w:rsid w:val="00F4029D"/>
    <w:rsid w:val="00F40801"/>
    <w:rsid w:val="00F40F58"/>
    <w:rsid w:val="00F413CF"/>
    <w:rsid w:val="00F4189F"/>
    <w:rsid w:val="00F41A9B"/>
    <w:rsid w:val="00F423D7"/>
    <w:rsid w:val="00F42A5E"/>
    <w:rsid w:val="00F42BB8"/>
    <w:rsid w:val="00F43172"/>
    <w:rsid w:val="00F43658"/>
    <w:rsid w:val="00F438BD"/>
    <w:rsid w:val="00F439E1"/>
    <w:rsid w:val="00F4452E"/>
    <w:rsid w:val="00F44B11"/>
    <w:rsid w:val="00F44C62"/>
    <w:rsid w:val="00F44F33"/>
    <w:rsid w:val="00F456C5"/>
    <w:rsid w:val="00F458D3"/>
    <w:rsid w:val="00F45A46"/>
    <w:rsid w:val="00F45A54"/>
    <w:rsid w:val="00F45CBB"/>
    <w:rsid w:val="00F45CF0"/>
    <w:rsid w:val="00F46084"/>
    <w:rsid w:val="00F46517"/>
    <w:rsid w:val="00F46BB6"/>
    <w:rsid w:val="00F47688"/>
    <w:rsid w:val="00F476F7"/>
    <w:rsid w:val="00F479AA"/>
    <w:rsid w:val="00F47A54"/>
    <w:rsid w:val="00F500BC"/>
    <w:rsid w:val="00F503F0"/>
    <w:rsid w:val="00F50DB6"/>
    <w:rsid w:val="00F51D6B"/>
    <w:rsid w:val="00F51E46"/>
    <w:rsid w:val="00F51EE9"/>
    <w:rsid w:val="00F523D5"/>
    <w:rsid w:val="00F5252C"/>
    <w:rsid w:val="00F52C7F"/>
    <w:rsid w:val="00F537F0"/>
    <w:rsid w:val="00F53C7C"/>
    <w:rsid w:val="00F54116"/>
    <w:rsid w:val="00F549FB"/>
    <w:rsid w:val="00F5593E"/>
    <w:rsid w:val="00F55C7C"/>
    <w:rsid w:val="00F55FE7"/>
    <w:rsid w:val="00F5738A"/>
    <w:rsid w:val="00F579A7"/>
    <w:rsid w:val="00F60201"/>
    <w:rsid w:val="00F60274"/>
    <w:rsid w:val="00F615F1"/>
    <w:rsid w:val="00F616AB"/>
    <w:rsid w:val="00F616CE"/>
    <w:rsid w:val="00F61C4A"/>
    <w:rsid w:val="00F61CCF"/>
    <w:rsid w:val="00F61E50"/>
    <w:rsid w:val="00F62316"/>
    <w:rsid w:val="00F62742"/>
    <w:rsid w:val="00F6279D"/>
    <w:rsid w:val="00F62F28"/>
    <w:rsid w:val="00F6326B"/>
    <w:rsid w:val="00F640A1"/>
    <w:rsid w:val="00F64116"/>
    <w:rsid w:val="00F64419"/>
    <w:rsid w:val="00F64F61"/>
    <w:rsid w:val="00F657AF"/>
    <w:rsid w:val="00F65958"/>
    <w:rsid w:val="00F66436"/>
    <w:rsid w:val="00F66999"/>
    <w:rsid w:val="00F66A58"/>
    <w:rsid w:val="00F67B9D"/>
    <w:rsid w:val="00F67BE8"/>
    <w:rsid w:val="00F67C96"/>
    <w:rsid w:val="00F67DC1"/>
    <w:rsid w:val="00F67F2B"/>
    <w:rsid w:val="00F703D8"/>
    <w:rsid w:val="00F70AE5"/>
    <w:rsid w:val="00F70ED6"/>
    <w:rsid w:val="00F71278"/>
    <w:rsid w:val="00F716AC"/>
    <w:rsid w:val="00F71AE6"/>
    <w:rsid w:val="00F72175"/>
    <w:rsid w:val="00F721EB"/>
    <w:rsid w:val="00F7224D"/>
    <w:rsid w:val="00F72317"/>
    <w:rsid w:val="00F7292C"/>
    <w:rsid w:val="00F732B2"/>
    <w:rsid w:val="00F734F2"/>
    <w:rsid w:val="00F73915"/>
    <w:rsid w:val="00F73A40"/>
    <w:rsid w:val="00F73A5A"/>
    <w:rsid w:val="00F73D75"/>
    <w:rsid w:val="00F74587"/>
    <w:rsid w:val="00F74745"/>
    <w:rsid w:val="00F749A8"/>
    <w:rsid w:val="00F74CD7"/>
    <w:rsid w:val="00F75299"/>
    <w:rsid w:val="00F753D4"/>
    <w:rsid w:val="00F75515"/>
    <w:rsid w:val="00F75967"/>
    <w:rsid w:val="00F75A45"/>
    <w:rsid w:val="00F75A87"/>
    <w:rsid w:val="00F75E34"/>
    <w:rsid w:val="00F761B2"/>
    <w:rsid w:val="00F76512"/>
    <w:rsid w:val="00F76974"/>
    <w:rsid w:val="00F76B32"/>
    <w:rsid w:val="00F76DF6"/>
    <w:rsid w:val="00F76E51"/>
    <w:rsid w:val="00F77132"/>
    <w:rsid w:val="00F771FB"/>
    <w:rsid w:val="00F77314"/>
    <w:rsid w:val="00F7731E"/>
    <w:rsid w:val="00F77352"/>
    <w:rsid w:val="00F7740B"/>
    <w:rsid w:val="00F77413"/>
    <w:rsid w:val="00F7756F"/>
    <w:rsid w:val="00F77662"/>
    <w:rsid w:val="00F77B3F"/>
    <w:rsid w:val="00F77BA0"/>
    <w:rsid w:val="00F80150"/>
    <w:rsid w:val="00F8017B"/>
    <w:rsid w:val="00F80655"/>
    <w:rsid w:val="00F806CB"/>
    <w:rsid w:val="00F8159F"/>
    <w:rsid w:val="00F82AE6"/>
    <w:rsid w:val="00F82BFE"/>
    <w:rsid w:val="00F83909"/>
    <w:rsid w:val="00F83B39"/>
    <w:rsid w:val="00F83C18"/>
    <w:rsid w:val="00F83FD0"/>
    <w:rsid w:val="00F8415A"/>
    <w:rsid w:val="00F84775"/>
    <w:rsid w:val="00F847BC"/>
    <w:rsid w:val="00F84A57"/>
    <w:rsid w:val="00F84B87"/>
    <w:rsid w:val="00F85581"/>
    <w:rsid w:val="00F85693"/>
    <w:rsid w:val="00F8586B"/>
    <w:rsid w:val="00F862CC"/>
    <w:rsid w:val="00F864CE"/>
    <w:rsid w:val="00F867F3"/>
    <w:rsid w:val="00F86D75"/>
    <w:rsid w:val="00F87043"/>
    <w:rsid w:val="00F87219"/>
    <w:rsid w:val="00F87249"/>
    <w:rsid w:val="00F8728B"/>
    <w:rsid w:val="00F8755A"/>
    <w:rsid w:val="00F90086"/>
    <w:rsid w:val="00F9071E"/>
    <w:rsid w:val="00F9079D"/>
    <w:rsid w:val="00F90991"/>
    <w:rsid w:val="00F90A00"/>
    <w:rsid w:val="00F90F4F"/>
    <w:rsid w:val="00F9156E"/>
    <w:rsid w:val="00F91646"/>
    <w:rsid w:val="00F926F8"/>
    <w:rsid w:val="00F92A1E"/>
    <w:rsid w:val="00F92E86"/>
    <w:rsid w:val="00F93305"/>
    <w:rsid w:val="00F93351"/>
    <w:rsid w:val="00F93510"/>
    <w:rsid w:val="00F939E0"/>
    <w:rsid w:val="00F93A23"/>
    <w:rsid w:val="00F9434E"/>
    <w:rsid w:val="00F95087"/>
    <w:rsid w:val="00F95FB8"/>
    <w:rsid w:val="00F96F30"/>
    <w:rsid w:val="00F96F36"/>
    <w:rsid w:val="00F96FBC"/>
    <w:rsid w:val="00F97053"/>
    <w:rsid w:val="00F9758F"/>
    <w:rsid w:val="00F97611"/>
    <w:rsid w:val="00FA054E"/>
    <w:rsid w:val="00FA1299"/>
    <w:rsid w:val="00FA141E"/>
    <w:rsid w:val="00FA147F"/>
    <w:rsid w:val="00FA187B"/>
    <w:rsid w:val="00FA19F4"/>
    <w:rsid w:val="00FA1C08"/>
    <w:rsid w:val="00FA1CA5"/>
    <w:rsid w:val="00FA1E36"/>
    <w:rsid w:val="00FA20CE"/>
    <w:rsid w:val="00FA2235"/>
    <w:rsid w:val="00FA26C5"/>
    <w:rsid w:val="00FA2CAC"/>
    <w:rsid w:val="00FA2F4C"/>
    <w:rsid w:val="00FA4202"/>
    <w:rsid w:val="00FA44B5"/>
    <w:rsid w:val="00FA44F6"/>
    <w:rsid w:val="00FA504B"/>
    <w:rsid w:val="00FA522B"/>
    <w:rsid w:val="00FA57BE"/>
    <w:rsid w:val="00FA5B5F"/>
    <w:rsid w:val="00FA5C3D"/>
    <w:rsid w:val="00FA6161"/>
    <w:rsid w:val="00FA67B8"/>
    <w:rsid w:val="00FA6851"/>
    <w:rsid w:val="00FA6AA3"/>
    <w:rsid w:val="00FA6ADF"/>
    <w:rsid w:val="00FA6D75"/>
    <w:rsid w:val="00FA72C6"/>
    <w:rsid w:val="00FA7438"/>
    <w:rsid w:val="00FA76A3"/>
    <w:rsid w:val="00FB0677"/>
    <w:rsid w:val="00FB0DD9"/>
    <w:rsid w:val="00FB0E01"/>
    <w:rsid w:val="00FB10BF"/>
    <w:rsid w:val="00FB15B0"/>
    <w:rsid w:val="00FB1BDA"/>
    <w:rsid w:val="00FB1F37"/>
    <w:rsid w:val="00FB2056"/>
    <w:rsid w:val="00FB2503"/>
    <w:rsid w:val="00FB2816"/>
    <w:rsid w:val="00FB2DBE"/>
    <w:rsid w:val="00FB308C"/>
    <w:rsid w:val="00FB33DF"/>
    <w:rsid w:val="00FB39B2"/>
    <w:rsid w:val="00FB3F0F"/>
    <w:rsid w:val="00FB3FA0"/>
    <w:rsid w:val="00FB44AB"/>
    <w:rsid w:val="00FB45C6"/>
    <w:rsid w:val="00FB462A"/>
    <w:rsid w:val="00FB4A00"/>
    <w:rsid w:val="00FB5029"/>
    <w:rsid w:val="00FB5261"/>
    <w:rsid w:val="00FB53C3"/>
    <w:rsid w:val="00FB57AE"/>
    <w:rsid w:val="00FB60A6"/>
    <w:rsid w:val="00FB61AC"/>
    <w:rsid w:val="00FB7B45"/>
    <w:rsid w:val="00FB7B4A"/>
    <w:rsid w:val="00FB7BB4"/>
    <w:rsid w:val="00FB7DEE"/>
    <w:rsid w:val="00FC01B1"/>
    <w:rsid w:val="00FC057D"/>
    <w:rsid w:val="00FC0696"/>
    <w:rsid w:val="00FC09FD"/>
    <w:rsid w:val="00FC0E63"/>
    <w:rsid w:val="00FC148E"/>
    <w:rsid w:val="00FC21E9"/>
    <w:rsid w:val="00FC2378"/>
    <w:rsid w:val="00FC23B4"/>
    <w:rsid w:val="00FC25A4"/>
    <w:rsid w:val="00FC2CB9"/>
    <w:rsid w:val="00FC2D89"/>
    <w:rsid w:val="00FC33C4"/>
    <w:rsid w:val="00FC3460"/>
    <w:rsid w:val="00FC3C2B"/>
    <w:rsid w:val="00FC3C68"/>
    <w:rsid w:val="00FC4163"/>
    <w:rsid w:val="00FC4336"/>
    <w:rsid w:val="00FC5501"/>
    <w:rsid w:val="00FC5AA8"/>
    <w:rsid w:val="00FC606E"/>
    <w:rsid w:val="00FC62C9"/>
    <w:rsid w:val="00FC653C"/>
    <w:rsid w:val="00FC6DB4"/>
    <w:rsid w:val="00FC6F23"/>
    <w:rsid w:val="00FC7696"/>
    <w:rsid w:val="00FC786C"/>
    <w:rsid w:val="00FC7E90"/>
    <w:rsid w:val="00FC7FAE"/>
    <w:rsid w:val="00FD001B"/>
    <w:rsid w:val="00FD039C"/>
    <w:rsid w:val="00FD09FE"/>
    <w:rsid w:val="00FD1A03"/>
    <w:rsid w:val="00FD1BB5"/>
    <w:rsid w:val="00FD2C40"/>
    <w:rsid w:val="00FD3213"/>
    <w:rsid w:val="00FD33C7"/>
    <w:rsid w:val="00FD34C2"/>
    <w:rsid w:val="00FD362B"/>
    <w:rsid w:val="00FD3794"/>
    <w:rsid w:val="00FD46C6"/>
    <w:rsid w:val="00FD4839"/>
    <w:rsid w:val="00FD553F"/>
    <w:rsid w:val="00FD5D09"/>
    <w:rsid w:val="00FD68B3"/>
    <w:rsid w:val="00FD6F77"/>
    <w:rsid w:val="00FD7646"/>
    <w:rsid w:val="00FD7657"/>
    <w:rsid w:val="00FE022F"/>
    <w:rsid w:val="00FE0316"/>
    <w:rsid w:val="00FE14AC"/>
    <w:rsid w:val="00FE1A4F"/>
    <w:rsid w:val="00FE1A63"/>
    <w:rsid w:val="00FE1DBF"/>
    <w:rsid w:val="00FE1E6F"/>
    <w:rsid w:val="00FE1EC5"/>
    <w:rsid w:val="00FE21A8"/>
    <w:rsid w:val="00FE23DA"/>
    <w:rsid w:val="00FE241A"/>
    <w:rsid w:val="00FE25E8"/>
    <w:rsid w:val="00FE2E56"/>
    <w:rsid w:val="00FE35E4"/>
    <w:rsid w:val="00FE3634"/>
    <w:rsid w:val="00FE36F2"/>
    <w:rsid w:val="00FE3B80"/>
    <w:rsid w:val="00FE3BC2"/>
    <w:rsid w:val="00FE3FA1"/>
    <w:rsid w:val="00FE44AE"/>
    <w:rsid w:val="00FE4735"/>
    <w:rsid w:val="00FE48F0"/>
    <w:rsid w:val="00FE4B61"/>
    <w:rsid w:val="00FE4BE7"/>
    <w:rsid w:val="00FE4C0C"/>
    <w:rsid w:val="00FE4E2D"/>
    <w:rsid w:val="00FE514C"/>
    <w:rsid w:val="00FE5306"/>
    <w:rsid w:val="00FE582D"/>
    <w:rsid w:val="00FE64B2"/>
    <w:rsid w:val="00FE6632"/>
    <w:rsid w:val="00FE66DE"/>
    <w:rsid w:val="00FE6CDF"/>
    <w:rsid w:val="00FE7210"/>
    <w:rsid w:val="00FE748F"/>
    <w:rsid w:val="00FF0015"/>
    <w:rsid w:val="00FF0093"/>
    <w:rsid w:val="00FF05C5"/>
    <w:rsid w:val="00FF163C"/>
    <w:rsid w:val="00FF189F"/>
    <w:rsid w:val="00FF1F3F"/>
    <w:rsid w:val="00FF21B7"/>
    <w:rsid w:val="00FF21EC"/>
    <w:rsid w:val="00FF2A78"/>
    <w:rsid w:val="00FF329C"/>
    <w:rsid w:val="00FF33D9"/>
    <w:rsid w:val="00FF35B1"/>
    <w:rsid w:val="00FF379D"/>
    <w:rsid w:val="00FF43E4"/>
    <w:rsid w:val="00FF46F6"/>
    <w:rsid w:val="00FF4874"/>
    <w:rsid w:val="00FF56E0"/>
    <w:rsid w:val="00FF5D21"/>
    <w:rsid w:val="00FF5EE0"/>
    <w:rsid w:val="00FF615F"/>
    <w:rsid w:val="00FF642A"/>
    <w:rsid w:val="00FF661F"/>
    <w:rsid w:val="00FF71C7"/>
    <w:rsid w:val="00FF7229"/>
    <w:rsid w:val="00FF7B38"/>
    <w:rsid w:val="00FF7FDA"/>
    <w:rsid w:val="0113EA99"/>
    <w:rsid w:val="0119AE06"/>
    <w:rsid w:val="011CEDE2"/>
    <w:rsid w:val="0135F53B"/>
    <w:rsid w:val="013AD87A"/>
    <w:rsid w:val="014D68B3"/>
    <w:rsid w:val="0158D152"/>
    <w:rsid w:val="01705543"/>
    <w:rsid w:val="0175E14A"/>
    <w:rsid w:val="0186D322"/>
    <w:rsid w:val="018F778B"/>
    <w:rsid w:val="01AD080A"/>
    <w:rsid w:val="01E95284"/>
    <w:rsid w:val="01EAF44B"/>
    <w:rsid w:val="01FAB73D"/>
    <w:rsid w:val="0205571F"/>
    <w:rsid w:val="020BC0F9"/>
    <w:rsid w:val="0213F10A"/>
    <w:rsid w:val="0215494F"/>
    <w:rsid w:val="022DCBB2"/>
    <w:rsid w:val="02365FC7"/>
    <w:rsid w:val="0241C38E"/>
    <w:rsid w:val="02489108"/>
    <w:rsid w:val="024A69FF"/>
    <w:rsid w:val="02596A06"/>
    <w:rsid w:val="027E0339"/>
    <w:rsid w:val="028A1335"/>
    <w:rsid w:val="02B84B16"/>
    <w:rsid w:val="02D50EE0"/>
    <w:rsid w:val="02E740D6"/>
    <w:rsid w:val="02E7F441"/>
    <w:rsid w:val="02EA581B"/>
    <w:rsid w:val="02F2C9B8"/>
    <w:rsid w:val="02F736DB"/>
    <w:rsid w:val="0353A41A"/>
    <w:rsid w:val="03559C67"/>
    <w:rsid w:val="036115DB"/>
    <w:rsid w:val="037B1478"/>
    <w:rsid w:val="039F6256"/>
    <w:rsid w:val="03A8FAF5"/>
    <w:rsid w:val="03AA47A1"/>
    <w:rsid w:val="03D0D32C"/>
    <w:rsid w:val="03DB9CD8"/>
    <w:rsid w:val="03E12896"/>
    <w:rsid w:val="03E5F500"/>
    <w:rsid w:val="03E74E4D"/>
    <w:rsid w:val="040AC07E"/>
    <w:rsid w:val="043AFC9A"/>
    <w:rsid w:val="044123AD"/>
    <w:rsid w:val="0452DA0D"/>
    <w:rsid w:val="045D1375"/>
    <w:rsid w:val="045FBEC7"/>
    <w:rsid w:val="046AACA5"/>
    <w:rsid w:val="0481104A"/>
    <w:rsid w:val="04964A3C"/>
    <w:rsid w:val="049E9352"/>
    <w:rsid w:val="04AE0214"/>
    <w:rsid w:val="04B16D3F"/>
    <w:rsid w:val="04B4A240"/>
    <w:rsid w:val="04FA13E8"/>
    <w:rsid w:val="050125CF"/>
    <w:rsid w:val="050174A4"/>
    <w:rsid w:val="050CC5C6"/>
    <w:rsid w:val="051672F4"/>
    <w:rsid w:val="05386900"/>
    <w:rsid w:val="054AAF4A"/>
    <w:rsid w:val="054C0EBD"/>
    <w:rsid w:val="054FEE86"/>
    <w:rsid w:val="055042A1"/>
    <w:rsid w:val="05591CBD"/>
    <w:rsid w:val="05761325"/>
    <w:rsid w:val="057A207B"/>
    <w:rsid w:val="05907082"/>
    <w:rsid w:val="05B90892"/>
    <w:rsid w:val="05B91B10"/>
    <w:rsid w:val="0603E9A6"/>
    <w:rsid w:val="0611CA0E"/>
    <w:rsid w:val="06181D7F"/>
    <w:rsid w:val="061CE0AB"/>
    <w:rsid w:val="064C3787"/>
    <w:rsid w:val="064F0162"/>
    <w:rsid w:val="06699AFE"/>
    <w:rsid w:val="067AF805"/>
    <w:rsid w:val="06B45EBD"/>
    <w:rsid w:val="06BEF638"/>
    <w:rsid w:val="06C6A632"/>
    <w:rsid w:val="06CC2004"/>
    <w:rsid w:val="06CD5B2F"/>
    <w:rsid w:val="06DC7C4E"/>
    <w:rsid w:val="06E5DE71"/>
    <w:rsid w:val="06FC6D4D"/>
    <w:rsid w:val="07204D18"/>
    <w:rsid w:val="07216579"/>
    <w:rsid w:val="074C221F"/>
    <w:rsid w:val="07581392"/>
    <w:rsid w:val="077B6947"/>
    <w:rsid w:val="077EDA4E"/>
    <w:rsid w:val="07AC8FAF"/>
    <w:rsid w:val="07B3840B"/>
    <w:rsid w:val="07BE7B37"/>
    <w:rsid w:val="07CC424D"/>
    <w:rsid w:val="07CD8A4F"/>
    <w:rsid w:val="07F29BAC"/>
    <w:rsid w:val="07FCF1A7"/>
    <w:rsid w:val="0808B9BC"/>
    <w:rsid w:val="080E2703"/>
    <w:rsid w:val="0825A30B"/>
    <w:rsid w:val="0825EC07"/>
    <w:rsid w:val="08446688"/>
    <w:rsid w:val="0844A63B"/>
    <w:rsid w:val="084D5979"/>
    <w:rsid w:val="084F6502"/>
    <w:rsid w:val="0852485B"/>
    <w:rsid w:val="087CBCA5"/>
    <w:rsid w:val="0890EBD9"/>
    <w:rsid w:val="089BEBDB"/>
    <w:rsid w:val="08B10512"/>
    <w:rsid w:val="08E74B8A"/>
    <w:rsid w:val="090ED9F6"/>
    <w:rsid w:val="091AAAAF"/>
    <w:rsid w:val="092C60F3"/>
    <w:rsid w:val="093A2245"/>
    <w:rsid w:val="094128F2"/>
    <w:rsid w:val="09432130"/>
    <w:rsid w:val="094A3589"/>
    <w:rsid w:val="095735C5"/>
    <w:rsid w:val="096526FD"/>
    <w:rsid w:val="097E6F42"/>
    <w:rsid w:val="0990CCD5"/>
    <w:rsid w:val="099ADEC0"/>
    <w:rsid w:val="09A4AE16"/>
    <w:rsid w:val="09AE2496"/>
    <w:rsid w:val="09B69F16"/>
    <w:rsid w:val="09BA3F1A"/>
    <w:rsid w:val="09DB1DFB"/>
    <w:rsid w:val="09E43976"/>
    <w:rsid w:val="09F2D323"/>
    <w:rsid w:val="0A097734"/>
    <w:rsid w:val="0A106904"/>
    <w:rsid w:val="0A10A12E"/>
    <w:rsid w:val="0A16B8B2"/>
    <w:rsid w:val="0A22FE29"/>
    <w:rsid w:val="0A346DCA"/>
    <w:rsid w:val="0A3850D4"/>
    <w:rsid w:val="0A596469"/>
    <w:rsid w:val="0A888CFA"/>
    <w:rsid w:val="0A9031DD"/>
    <w:rsid w:val="0AA99D26"/>
    <w:rsid w:val="0AB0C789"/>
    <w:rsid w:val="0AB47F09"/>
    <w:rsid w:val="0AB83814"/>
    <w:rsid w:val="0AC1E3CA"/>
    <w:rsid w:val="0ACFD2E5"/>
    <w:rsid w:val="0AD5AC23"/>
    <w:rsid w:val="0ADC845D"/>
    <w:rsid w:val="0AE4B7C9"/>
    <w:rsid w:val="0B1E1B8C"/>
    <w:rsid w:val="0B29DD72"/>
    <w:rsid w:val="0B2DFB5E"/>
    <w:rsid w:val="0B306068"/>
    <w:rsid w:val="0B47E823"/>
    <w:rsid w:val="0B4B0321"/>
    <w:rsid w:val="0B66B179"/>
    <w:rsid w:val="0B78FC8F"/>
    <w:rsid w:val="0BCFD904"/>
    <w:rsid w:val="0BDC5136"/>
    <w:rsid w:val="0BDE574C"/>
    <w:rsid w:val="0BE1DB86"/>
    <w:rsid w:val="0BEF2826"/>
    <w:rsid w:val="0BF61A12"/>
    <w:rsid w:val="0BF93403"/>
    <w:rsid w:val="0BFC2190"/>
    <w:rsid w:val="0C05F045"/>
    <w:rsid w:val="0C063DCB"/>
    <w:rsid w:val="0C08314D"/>
    <w:rsid w:val="0C10046F"/>
    <w:rsid w:val="0C371711"/>
    <w:rsid w:val="0C453C64"/>
    <w:rsid w:val="0C4C81F3"/>
    <w:rsid w:val="0C6263DE"/>
    <w:rsid w:val="0C6A7819"/>
    <w:rsid w:val="0C78A1EB"/>
    <w:rsid w:val="0C7A2A7A"/>
    <w:rsid w:val="0C813ED3"/>
    <w:rsid w:val="0C88548E"/>
    <w:rsid w:val="0C8ED687"/>
    <w:rsid w:val="0C9470C8"/>
    <w:rsid w:val="0CA80594"/>
    <w:rsid w:val="0CE9230D"/>
    <w:rsid w:val="0CED6FD7"/>
    <w:rsid w:val="0CF2BA2D"/>
    <w:rsid w:val="0CF39642"/>
    <w:rsid w:val="0D136F77"/>
    <w:rsid w:val="0D2F6F9B"/>
    <w:rsid w:val="0D33FE50"/>
    <w:rsid w:val="0D3859B3"/>
    <w:rsid w:val="0D419525"/>
    <w:rsid w:val="0D504558"/>
    <w:rsid w:val="0D53B99D"/>
    <w:rsid w:val="0D5540F1"/>
    <w:rsid w:val="0D583987"/>
    <w:rsid w:val="0D5B2313"/>
    <w:rsid w:val="0D67B550"/>
    <w:rsid w:val="0D78ADD2"/>
    <w:rsid w:val="0D8B78EF"/>
    <w:rsid w:val="0D97F6E5"/>
    <w:rsid w:val="0DA6580C"/>
    <w:rsid w:val="0DA95B1D"/>
    <w:rsid w:val="0DB356C5"/>
    <w:rsid w:val="0E15B830"/>
    <w:rsid w:val="0E200EB4"/>
    <w:rsid w:val="0E2AA6E8"/>
    <w:rsid w:val="0E458452"/>
    <w:rsid w:val="0E66F763"/>
    <w:rsid w:val="0E6ADBFC"/>
    <w:rsid w:val="0E71CA09"/>
    <w:rsid w:val="0E72C628"/>
    <w:rsid w:val="0E7A7086"/>
    <w:rsid w:val="0E82991F"/>
    <w:rsid w:val="0E8C020C"/>
    <w:rsid w:val="0E90CA0D"/>
    <w:rsid w:val="0E9A8728"/>
    <w:rsid w:val="0EAED755"/>
    <w:rsid w:val="0EAF89C1"/>
    <w:rsid w:val="0EB0B3AF"/>
    <w:rsid w:val="0EB1837B"/>
    <w:rsid w:val="0EB4403A"/>
    <w:rsid w:val="0EDF13A8"/>
    <w:rsid w:val="0EE9075F"/>
    <w:rsid w:val="0EEA3FCF"/>
    <w:rsid w:val="0F0F1509"/>
    <w:rsid w:val="0F1007DE"/>
    <w:rsid w:val="0F1624C9"/>
    <w:rsid w:val="0F4A7AA3"/>
    <w:rsid w:val="0F4F4779"/>
    <w:rsid w:val="0F9B2ED4"/>
    <w:rsid w:val="0F9CA35C"/>
    <w:rsid w:val="0FA3D4A6"/>
    <w:rsid w:val="0FA5D768"/>
    <w:rsid w:val="0FA60A39"/>
    <w:rsid w:val="0FA97CD8"/>
    <w:rsid w:val="0FC3ECEC"/>
    <w:rsid w:val="0FDD040D"/>
    <w:rsid w:val="0FDD4A17"/>
    <w:rsid w:val="0FF65D84"/>
    <w:rsid w:val="100C6B7A"/>
    <w:rsid w:val="100D322C"/>
    <w:rsid w:val="101E7444"/>
    <w:rsid w:val="10277997"/>
    <w:rsid w:val="10514FEB"/>
    <w:rsid w:val="105A1524"/>
    <w:rsid w:val="10623C43"/>
    <w:rsid w:val="106F046F"/>
    <w:rsid w:val="107F3023"/>
    <w:rsid w:val="108296BF"/>
    <w:rsid w:val="109814B0"/>
    <w:rsid w:val="10C51D42"/>
    <w:rsid w:val="10DAEE8A"/>
    <w:rsid w:val="10E64B04"/>
    <w:rsid w:val="10F9C7B7"/>
    <w:rsid w:val="10FAF1EB"/>
    <w:rsid w:val="1125137D"/>
    <w:rsid w:val="1134DBB0"/>
    <w:rsid w:val="113CB619"/>
    <w:rsid w:val="115FBD4D"/>
    <w:rsid w:val="11617DA4"/>
    <w:rsid w:val="1174B85C"/>
    <w:rsid w:val="11A19F46"/>
    <w:rsid w:val="11AA873D"/>
    <w:rsid w:val="11ABE803"/>
    <w:rsid w:val="11B061DA"/>
    <w:rsid w:val="11CD0C3F"/>
    <w:rsid w:val="11DE1700"/>
    <w:rsid w:val="11DFCE3D"/>
    <w:rsid w:val="11F8477E"/>
    <w:rsid w:val="123D2A44"/>
    <w:rsid w:val="1243C3D6"/>
    <w:rsid w:val="1253F21D"/>
    <w:rsid w:val="1268C700"/>
    <w:rsid w:val="1271EFA6"/>
    <w:rsid w:val="1278126F"/>
    <w:rsid w:val="1281A093"/>
    <w:rsid w:val="128FC91B"/>
    <w:rsid w:val="129B43C2"/>
    <w:rsid w:val="12AE88E8"/>
    <w:rsid w:val="12D29082"/>
    <w:rsid w:val="12D6DD14"/>
    <w:rsid w:val="12FBE731"/>
    <w:rsid w:val="1309A283"/>
    <w:rsid w:val="131088BD"/>
    <w:rsid w:val="134C41C3"/>
    <w:rsid w:val="1350A192"/>
    <w:rsid w:val="1363E0B1"/>
    <w:rsid w:val="136DA22F"/>
    <w:rsid w:val="13797CF1"/>
    <w:rsid w:val="13942901"/>
    <w:rsid w:val="13AA3866"/>
    <w:rsid w:val="1413E2D0"/>
    <w:rsid w:val="141BB7B7"/>
    <w:rsid w:val="14385F04"/>
    <w:rsid w:val="1443C4D5"/>
    <w:rsid w:val="14651442"/>
    <w:rsid w:val="148977F2"/>
    <w:rsid w:val="14A3BCE4"/>
    <w:rsid w:val="14BCA27B"/>
    <w:rsid w:val="14C13354"/>
    <w:rsid w:val="14D7D264"/>
    <w:rsid w:val="14F0A04F"/>
    <w:rsid w:val="14F58F31"/>
    <w:rsid w:val="14FDAD41"/>
    <w:rsid w:val="15112764"/>
    <w:rsid w:val="152B28BC"/>
    <w:rsid w:val="155224E5"/>
    <w:rsid w:val="15932EAC"/>
    <w:rsid w:val="15A49D2E"/>
    <w:rsid w:val="15EEE8CD"/>
    <w:rsid w:val="15EF8D3D"/>
    <w:rsid w:val="15F3A1F5"/>
    <w:rsid w:val="15F3CE84"/>
    <w:rsid w:val="16013731"/>
    <w:rsid w:val="160602D6"/>
    <w:rsid w:val="1611FBA8"/>
    <w:rsid w:val="16380552"/>
    <w:rsid w:val="164E3076"/>
    <w:rsid w:val="169713F1"/>
    <w:rsid w:val="16A0CBB4"/>
    <w:rsid w:val="16A34515"/>
    <w:rsid w:val="16A658E0"/>
    <w:rsid w:val="16BDD295"/>
    <w:rsid w:val="16C7A2FD"/>
    <w:rsid w:val="16CA0C0E"/>
    <w:rsid w:val="16CBA623"/>
    <w:rsid w:val="16D636E4"/>
    <w:rsid w:val="16DEB6B6"/>
    <w:rsid w:val="16F8A3A5"/>
    <w:rsid w:val="17087DB6"/>
    <w:rsid w:val="172B87EC"/>
    <w:rsid w:val="173231DF"/>
    <w:rsid w:val="1734D2A8"/>
    <w:rsid w:val="173DBF18"/>
    <w:rsid w:val="17693655"/>
    <w:rsid w:val="178F436B"/>
    <w:rsid w:val="179D916F"/>
    <w:rsid w:val="17A48EF4"/>
    <w:rsid w:val="17BA7C21"/>
    <w:rsid w:val="17BF9DBA"/>
    <w:rsid w:val="17CB1EDF"/>
    <w:rsid w:val="17CDE166"/>
    <w:rsid w:val="17D287FE"/>
    <w:rsid w:val="17D84428"/>
    <w:rsid w:val="17E3AFC4"/>
    <w:rsid w:val="17E5FB23"/>
    <w:rsid w:val="17F6480D"/>
    <w:rsid w:val="180FA051"/>
    <w:rsid w:val="1821BDD6"/>
    <w:rsid w:val="1847E8F0"/>
    <w:rsid w:val="185597F2"/>
    <w:rsid w:val="187F9BE6"/>
    <w:rsid w:val="1883F75F"/>
    <w:rsid w:val="189C55E0"/>
    <w:rsid w:val="18A61384"/>
    <w:rsid w:val="18A71EF7"/>
    <w:rsid w:val="18A99539"/>
    <w:rsid w:val="18AFC830"/>
    <w:rsid w:val="18B52D90"/>
    <w:rsid w:val="18BB1E86"/>
    <w:rsid w:val="18BD8011"/>
    <w:rsid w:val="18E9EAD7"/>
    <w:rsid w:val="190E02D9"/>
    <w:rsid w:val="194DA2CC"/>
    <w:rsid w:val="195E1AFA"/>
    <w:rsid w:val="1963EFC7"/>
    <w:rsid w:val="19696FE1"/>
    <w:rsid w:val="1978ABC3"/>
    <w:rsid w:val="198C130A"/>
    <w:rsid w:val="19AE113E"/>
    <w:rsid w:val="19D330C1"/>
    <w:rsid w:val="1A2A75AD"/>
    <w:rsid w:val="1A33100A"/>
    <w:rsid w:val="1A4AD725"/>
    <w:rsid w:val="1A60FD3B"/>
    <w:rsid w:val="1A6165A6"/>
    <w:rsid w:val="1A84C193"/>
    <w:rsid w:val="1A9439D1"/>
    <w:rsid w:val="1AA9B59E"/>
    <w:rsid w:val="1AD4F984"/>
    <w:rsid w:val="1AFB539A"/>
    <w:rsid w:val="1AFBAEE2"/>
    <w:rsid w:val="1B1A29E5"/>
    <w:rsid w:val="1B3074D8"/>
    <w:rsid w:val="1B43DC0D"/>
    <w:rsid w:val="1B57628C"/>
    <w:rsid w:val="1B5D7E70"/>
    <w:rsid w:val="1B638FEF"/>
    <w:rsid w:val="1B74475E"/>
    <w:rsid w:val="1B7AAD1B"/>
    <w:rsid w:val="1B8917E5"/>
    <w:rsid w:val="1B8C1EEA"/>
    <w:rsid w:val="1B9F7BED"/>
    <w:rsid w:val="1BB8EF01"/>
    <w:rsid w:val="1BD74F0F"/>
    <w:rsid w:val="1BDBA973"/>
    <w:rsid w:val="1C328F4C"/>
    <w:rsid w:val="1C378B38"/>
    <w:rsid w:val="1C468572"/>
    <w:rsid w:val="1C46E8DD"/>
    <w:rsid w:val="1C536A2B"/>
    <w:rsid w:val="1C5B8633"/>
    <w:rsid w:val="1C7EC279"/>
    <w:rsid w:val="1C87C585"/>
    <w:rsid w:val="1C8EAB59"/>
    <w:rsid w:val="1C9CF7C5"/>
    <w:rsid w:val="1CE626DC"/>
    <w:rsid w:val="1CFA0406"/>
    <w:rsid w:val="1D45A151"/>
    <w:rsid w:val="1D48FFEA"/>
    <w:rsid w:val="1D61EB14"/>
    <w:rsid w:val="1D6A91A5"/>
    <w:rsid w:val="1D8E4561"/>
    <w:rsid w:val="1D91FEEB"/>
    <w:rsid w:val="1DAF013E"/>
    <w:rsid w:val="1DB504AB"/>
    <w:rsid w:val="1DC66C64"/>
    <w:rsid w:val="1DCC9250"/>
    <w:rsid w:val="1DD74839"/>
    <w:rsid w:val="1DEEC79D"/>
    <w:rsid w:val="1DF01188"/>
    <w:rsid w:val="1E0D4E47"/>
    <w:rsid w:val="1E38C826"/>
    <w:rsid w:val="1E3CCD25"/>
    <w:rsid w:val="1E4183A0"/>
    <w:rsid w:val="1E5A8A06"/>
    <w:rsid w:val="1E5EE16C"/>
    <w:rsid w:val="1E74CC2A"/>
    <w:rsid w:val="1E907601"/>
    <w:rsid w:val="1E94E8B7"/>
    <w:rsid w:val="1E9FBCE0"/>
    <w:rsid w:val="1EABF715"/>
    <w:rsid w:val="1EAFFBAE"/>
    <w:rsid w:val="1EBBF596"/>
    <w:rsid w:val="1EC6BD7A"/>
    <w:rsid w:val="1ECDB07A"/>
    <w:rsid w:val="1F6291DE"/>
    <w:rsid w:val="1F7F2D71"/>
    <w:rsid w:val="1FA0AF3F"/>
    <w:rsid w:val="1FA838F8"/>
    <w:rsid w:val="1FAE4C0C"/>
    <w:rsid w:val="1FAF9EB4"/>
    <w:rsid w:val="1FCED2EC"/>
    <w:rsid w:val="1FD49887"/>
    <w:rsid w:val="1FE49766"/>
    <w:rsid w:val="1FE6F37F"/>
    <w:rsid w:val="1FEEBAB4"/>
    <w:rsid w:val="1FF6D5B6"/>
    <w:rsid w:val="1FFF712C"/>
    <w:rsid w:val="20039487"/>
    <w:rsid w:val="20504491"/>
    <w:rsid w:val="2053BAE7"/>
    <w:rsid w:val="206FF8B3"/>
    <w:rsid w:val="209A9111"/>
    <w:rsid w:val="209AB892"/>
    <w:rsid w:val="209C5F70"/>
    <w:rsid w:val="209FF37F"/>
    <w:rsid w:val="20AD080E"/>
    <w:rsid w:val="20BC44B5"/>
    <w:rsid w:val="20FC6ECE"/>
    <w:rsid w:val="20FCADE8"/>
    <w:rsid w:val="2118B017"/>
    <w:rsid w:val="21432A9D"/>
    <w:rsid w:val="217CF317"/>
    <w:rsid w:val="219A1BDB"/>
    <w:rsid w:val="219D1428"/>
    <w:rsid w:val="21B482DF"/>
    <w:rsid w:val="21B718D4"/>
    <w:rsid w:val="21BA26C9"/>
    <w:rsid w:val="21BBD32C"/>
    <w:rsid w:val="21EDEDD8"/>
    <w:rsid w:val="2230A034"/>
    <w:rsid w:val="223D67D8"/>
    <w:rsid w:val="22427989"/>
    <w:rsid w:val="22846445"/>
    <w:rsid w:val="22898323"/>
    <w:rsid w:val="2296082B"/>
    <w:rsid w:val="22978251"/>
    <w:rsid w:val="22A02CB5"/>
    <w:rsid w:val="22A94B68"/>
    <w:rsid w:val="22DFDB2A"/>
    <w:rsid w:val="22E9E901"/>
    <w:rsid w:val="22F8891B"/>
    <w:rsid w:val="22FE6A25"/>
    <w:rsid w:val="231A763F"/>
    <w:rsid w:val="2325664C"/>
    <w:rsid w:val="232B912B"/>
    <w:rsid w:val="2330DB58"/>
    <w:rsid w:val="2356BF5C"/>
    <w:rsid w:val="2376D06B"/>
    <w:rsid w:val="2384673D"/>
    <w:rsid w:val="23A2A19F"/>
    <w:rsid w:val="23A733D3"/>
    <w:rsid w:val="23D4D140"/>
    <w:rsid w:val="23EC5715"/>
    <w:rsid w:val="24026E2A"/>
    <w:rsid w:val="243352B2"/>
    <w:rsid w:val="24340F90"/>
    <w:rsid w:val="24451F0F"/>
    <w:rsid w:val="2454D295"/>
    <w:rsid w:val="24587DCB"/>
    <w:rsid w:val="24669818"/>
    <w:rsid w:val="24C1A910"/>
    <w:rsid w:val="24CE75E5"/>
    <w:rsid w:val="24DC96DE"/>
    <w:rsid w:val="24F22A76"/>
    <w:rsid w:val="24FA0296"/>
    <w:rsid w:val="25193D34"/>
    <w:rsid w:val="252495D9"/>
    <w:rsid w:val="254A5EFE"/>
    <w:rsid w:val="2587C2CF"/>
    <w:rsid w:val="258DAEE0"/>
    <w:rsid w:val="25AB713F"/>
    <w:rsid w:val="25B98CDF"/>
    <w:rsid w:val="25CE4FC7"/>
    <w:rsid w:val="25D0F2DD"/>
    <w:rsid w:val="25D281B8"/>
    <w:rsid w:val="25D96465"/>
    <w:rsid w:val="25E12241"/>
    <w:rsid w:val="2610883B"/>
    <w:rsid w:val="2617D528"/>
    <w:rsid w:val="261DB148"/>
    <w:rsid w:val="261F6532"/>
    <w:rsid w:val="26653B25"/>
    <w:rsid w:val="267FD0A5"/>
    <w:rsid w:val="269EEEC9"/>
    <w:rsid w:val="26A0AB23"/>
    <w:rsid w:val="26AAB326"/>
    <w:rsid w:val="26B7AAF7"/>
    <w:rsid w:val="26B851C2"/>
    <w:rsid w:val="26C6EDA6"/>
    <w:rsid w:val="26D5F5A1"/>
    <w:rsid w:val="26F31418"/>
    <w:rsid w:val="270ADAB4"/>
    <w:rsid w:val="270E07F0"/>
    <w:rsid w:val="2713D21B"/>
    <w:rsid w:val="27256784"/>
    <w:rsid w:val="272BBE76"/>
    <w:rsid w:val="2736E2EB"/>
    <w:rsid w:val="273FD889"/>
    <w:rsid w:val="276B1C06"/>
    <w:rsid w:val="276B9EE0"/>
    <w:rsid w:val="2771E142"/>
    <w:rsid w:val="2777B5C8"/>
    <w:rsid w:val="277B9B68"/>
    <w:rsid w:val="277E2C2A"/>
    <w:rsid w:val="278B333B"/>
    <w:rsid w:val="27AF297C"/>
    <w:rsid w:val="27BB7AE2"/>
    <w:rsid w:val="27DFAF12"/>
    <w:rsid w:val="27E68673"/>
    <w:rsid w:val="27E716A3"/>
    <w:rsid w:val="27EEB442"/>
    <w:rsid w:val="28005F53"/>
    <w:rsid w:val="28193FC8"/>
    <w:rsid w:val="286A4A90"/>
    <w:rsid w:val="287284EA"/>
    <w:rsid w:val="2877042C"/>
    <w:rsid w:val="28C016B4"/>
    <w:rsid w:val="28E1BC40"/>
    <w:rsid w:val="28E90585"/>
    <w:rsid w:val="28EA7840"/>
    <w:rsid w:val="28EED9C9"/>
    <w:rsid w:val="290EF367"/>
    <w:rsid w:val="290F6E39"/>
    <w:rsid w:val="291476CD"/>
    <w:rsid w:val="2923A2B2"/>
    <w:rsid w:val="2923AB2F"/>
    <w:rsid w:val="2938BFD8"/>
    <w:rsid w:val="29A861B3"/>
    <w:rsid w:val="29B7F620"/>
    <w:rsid w:val="29D81253"/>
    <w:rsid w:val="29E05C5A"/>
    <w:rsid w:val="29E52673"/>
    <w:rsid w:val="29EBC747"/>
    <w:rsid w:val="2A053A80"/>
    <w:rsid w:val="2A0A2816"/>
    <w:rsid w:val="2A1EFA96"/>
    <w:rsid w:val="2A43EEC6"/>
    <w:rsid w:val="2A69B2C0"/>
    <w:rsid w:val="2A747320"/>
    <w:rsid w:val="2A769C35"/>
    <w:rsid w:val="2A7D45AF"/>
    <w:rsid w:val="2A7F70C4"/>
    <w:rsid w:val="2A808FBB"/>
    <w:rsid w:val="2A821908"/>
    <w:rsid w:val="2AA337DE"/>
    <w:rsid w:val="2AACD8AF"/>
    <w:rsid w:val="2AB1229C"/>
    <w:rsid w:val="2ABF7313"/>
    <w:rsid w:val="2ACD1B42"/>
    <w:rsid w:val="2AE6EDBB"/>
    <w:rsid w:val="2AEC7360"/>
    <w:rsid w:val="2AF74E59"/>
    <w:rsid w:val="2B0B5E8B"/>
    <w:rsid w:val="2B197DB4"/>
    <w:rsid w:val="2B2DFE80"/>
    <w:rsid w:val="2B3BA55D"/>
    <w:rsid w:val="2B569E12"/>
    <w:rsid w:val="2B65E9A6"/>
    <w:rsid w:val="2B721376"/>
    <w:rsid w:val="2B798F20"/>
    <w:rsid w:val="2B7C983E"/>
    <w:rsid w:val="2B7F53A7"/>
    <w:rsid w:val="2B957A3B"/>
    <w:rsid w:val="2B960FC3"/>
    <w:rsid w:val="2BA7CE33"/>
    <w:rsid w:val="2BB50ACA"/>
    <w:rsid w:val="2BB8670E"/>
    <w:rsid w:val="2BE0BFF3"/>
    <w:rsid w:val="2BF9560E"/>
    <w:rsid w:val="2C0F70B6"/>
    <w:rsid w:val="2C16D332"/>
    <w:rsid w:val="2C4089B4"/>
    <w:rsid w:val="2C5E5AAF"/>
    <w:rsid w:val="2C720D52"/>
    <w:rsid w:val="2C7A03B4"/>
    <w:rsid w:val="2C7AF522"/>
    <w:rsid w:val="2C7C905B"/>
    <w:rsid w:val="2C9329C4"/>
    <w:rsid w:val="2C933EF9"/>
    <w:rsid w:val="2CA3D304"/>
    <w:rsid w:val="2CA74AE4"/>
    <w:rsid w:val="2CC2678A"/>
    <w:rsid w:val="2CDA2E26"/>
    <w:rsid w:val="2CE18055"/>
    <w:rsid w:val="2CE450E0"/>
    <w:rsid w:val="2D030B85"/>
    <w:rsid w:val="2D075E79"/>
    <w:rsid w:val="2D0796FF"/>
    <w:rsid w:val="2D0EBD8A"/>
    <w:rsid w:val="2D2391B1"/>
    <w:rsid w:val="2D3534D7"/>
    <w:rsid w:val="2D50507C"/>
    <w:rsid w:val="2D57ABED"/>
    <w:rsid w:val="2D5BC51B"/>
    <w:rsid w:val="2D5C3C40"/>
    <w:rsid w:val="2D5DB8DC"/>
    <w:rsid w:val="2D5FE868"/>
    <w:rsid w:val="2D69EC18"/>
    <w:rsid w:val="2DD76703"/>
    <w:rsid w:val="2DDCEE2A"/>
    <w:rsid w:val="2DE20212"/>
    <w:rsid w:val="2DF56421"/>
    <w:rsid w:val="2DF713D5"/>
    <w:rsid w:val="2E12D924"/>
    <w:rsid w:val="2E3BB639"/>
    <w:rsid w:val="2E4B2C41"/>
    <w:rsid w:val="2E54B5BF"/>
    <w:rsid w:val="2E7BA8FB"/>
    <w:rsid w:val="2E801165"/>
    <w:rsid w:val="2E851BFC"/>
    <w:rsid w:val="2EB0DCE1"/>
    <w:rsid w:val="2EB10FB2"/>
    <w:rsid w:val="2EB461EE"/>
    <w:rsid w:val="2EBB7598"/>
    <w:rsid w:val="2EE83419"/>
    <w:rsid w:val="2EFD3FD3"/>
    <w:rsid w:val="2F1860B5"/>
    <w:rsid w:val="2F243449"/>
    <w:rsid w:val="2F2B2366"/>
    <w:rsid w:val="2F3986E2"/>
    <w:rsid w:val="2F41FBBE"/>
    <w:rsid w:val="2F4B4A0A"/>
    <w:rsid w:val="2F6EA8A9"/>
    <w:rsid w:val="2F7DF2DF"/>
    <w:rsid w:val="2F874992"/>
    <w:rsid w:val="2F8E0C45"/>
    <w:rsid w:val="2F8F38AC"/>
    <w:rsid w:val="2FAD51EC"/>
    <w:rsid w:val="2FADFBE2"/>
    <w:rsid w:val="2FB2521E"/>
    <w:rsid w:val="2FF93662"/>
    <w:rsid w:val="2FF970D4"/>
    <w:rsid w:val="2FFEAB25"/>
    <w:rsid w:val="3001964F"/>
    <w:rsid w:val="3007BA1C"/>
    <w:rsid w:val="3012CF7B"/>
    <w:rsid w:val="30166CA6"/>
    <w:rsid w:val="3033470F"/>
    <w:rsid w:val="30418FF5"/>
    <w:rsid w:val="3041C647"/>
    <w:rsid w:val="30509FEF"/>
    <w:rsid w:val="306F8087"/>
    <w:rsid w:val="307AB410"/>
    <w:rsid w:val="307B7EEE"/>
    <w:rsid w:val="30AA3328"/>
    <w:rsid w:val="30C004AA"/>
    <w:rsid w:val="30D7EF4F"/>
    <w:rsid w:val="312567F9"/>
    <w:rsid w:val="312CEAA5"/>
    <w:rsid w:val="31481B96"/>
    <w:rsid w:val="315B3786"/>
    <w:rsid w:val="317B238D"/>
    <w:rsid w:val="31877626"/>
    <w:rsid w:val="31BFC56C"/>
    <w:rsid w:val="31D665DB"/>
    <w:rsid w:val="31DFB3AB"/>
    <w:rsid w:val="3201B488"/>
    <w:rsid w:val="320E7B65"/>
    <w:rsid w:val="32114884"/>
    <w:rsid w:val="321222E8"/>
    <w:rsid w:val="32140B0B"/>
    <w:rsid w:val="322746D4"/>
    <w:rsid w:val="322ED197"/>
    <w:rsid w:val="322FC298"/>
    <w:rsid w:val="3231E77D"/>
    <w:rsid w:val="323CC7F5"/>
    <w:rsid w:val="32531AF5"/>
    <w:rsid w:val="3265A55E"/>
    <w:rsid w:val="327858E3"/>
    <w:rsid w:val="32787E12"/>
    <w:rsid w:val="32A68C40"/>
    <w:rsid w:val="32C0AE0D"/>
    <w:rsid w:val="32CC5BEC"/>
    <w:rsid w:val="32FB92DF"/>
    <w:rsid w:val="32FEA37A"/>
    <w:rsid w:val="330AF946"/>
    <w:rsid w:val="3313F4B4"/>
    <w:rsid w:val="332660D1"/>
    <w:rsid w:val="3343C46A"/>
    <w:rsid w:val="334DACE2"/>
    <w:rsid w:val="336DBE9A"/>
    <w:rsid w:val="3370AB4F"/>
    <w:rsid w:val="3378C650"/>
    <w:rsid w:val="337CE011"/>
    <w:rsid w:val="33962F10"/>
    <w:rsid w:val="33B850AA"/>
    <w:rsid w:val="33C005A0"/>
    <w:rsid w:val="33CBC4CF"/>
    <w:rsid w:val="33D6DBCF"/>
    <w:rsid w:val="33E032ED"/>
    <w:rsid w:val="33EB1F68"/>
    <w:rsid w:val="33F836F2"/>
    <w:rsid w:val="33F98B26"/>
    <w:rsid w:val="34026FD8"/>
    <w:rsid w:val="3403D258"/>
    <w:rsid w:val="3418B462"/>
    <w:rsid w:val="341F586D"/>
    <w:rsid w:val="3437B463"/>
    <w:rsid w:val="343B6C35"/>
    <w:rsid w:val="34497FDE"/>
    <w:rsid w:val="348248E7"/>
    <w:rsid w:val="3487C235"/>
    <w:rsid w:val="34F5F70F"/>
    <w:rsid w:val="351061DF"/>
    <w:rsid w:val="351A6AAB"/>
    <w:rsid w:val="352FA53B"/>
    <w:rsid w:val="35350341"/>
    <w:rsid w:val="3545E3D3"/>
    <w:rsid w:val="3546E9BC"/>
    <w:rsid w:val="355E4931"/>
    <w:rsid w:val="3583342E"/>
    <w:rsid w:val="3583CD57"/>
    <w:rsid w:val="358B6A17"/>
    <w:rsid w:val="35934F88"/>
    <w:rsid w:val="35A046A8"/>
    <w:rsid w:val="35AF4FFB"/>
    <w:rsid w:val="35BA151C"/>
    <w:rsid w:val="35C1E869"/>
    <w:rsid w:val="35CFAFF6"/>
    <w:rsid w:val="35DCF617"/>
    <w:rsid w:val="35ED3463"/>
    <w:rsid w:val="35F97BB2"/>
    <w:rsid w:val="360E87ED"/>
    <w:rsid w:val="361070DA"/>
    <w:rsid w:val="362D09B5"/>
    <w:rsid w:val="3632D8F3"/>
    <w:rsid w:val="363D17E7"/>
    <w:rsid w:val="363EDA16"/>
    <w:rsid w:val="367C47C0"/>
    <w:rsid w:val="36A3E700"/>
    <w:rsid w:val="36A4972C"/>
    <w:rsid w:val="36AE46DE"/>
    <w:rsid w:val="36B2C3F7"/>
    <w:rsid w:val="36C5DF27"/>
    <w:rsid w:val="36CB1691"/>
    <w:rsid w:val="370FB3D7"/>
    <w:rsid w:val="373DE44B"/>
    <w:rsid w:val="3752894F"/>
    <w:rsid w:val="3764BDF5"/>
    <w:rsid w:val="37750079"/>
    <w:rsid w:val="377CE133"/>
    <w:rsid w:val="37AC4866"/>
    <w:rsid w:val="37AF219B"/>
    <w:rsid w:val="37D2557C"/>
    <w:rsid w:val="37D4276C"/>
    <w:rsid w:val="37DA5422"/>
    <w:rsid w:val="37ED864B"/>
    <w:rsid w:val="37F1C6D1"/>
    <w:rsid w:val="37F28067"/>
    <w:rsid w:val="380F507F"/>
    <w:rsid w:val="3848D2DC"/>
    <w:rsid w:val="385EDAFD"/>
    <w:rsid w:val="387D3EC3"/>
    <w:rsid w:val="387FF43E"/>
    <w:rsid w:val="38828AAF"/>
    <w:rsid w:val="3899897C"/>
    <w:rsid w:val="38A592D9"/>
    <w:rsid w:val="38AA3C45"/>
    <w:rsid w:val="38D1105A"/>
    <w:rsid w:val="38D1386E"/>
    <w:rsid w:val="38F329E7"/>
    <w:rsid w:val="38FD2D8B"/>
    <w:rsid w:val="38FD727E"/>
    <w:rsid w:val="390D6C43"/>
    <w:rsid w:val="3916E6A3"/>
    <w:rsid w:val="3939A1BA"/>
    <w:rsid w:val="3962BAF7"/>
    <w:rsid w:val="397B1183"/>
    <w:rsid w:val="397D5004"/>
    <w:rsid w:val="398063C0"/>
    <w:rsid w:val="398B891E"/>
    <w:rsid w:val="39A310E5"/>
    <w:rsid w:val="39B0EC32"/>
    <w:rsid w:val="39CDD930"/>
    <w:rsid w:val="39D26F85"/>
    <w:rsid w:val="39D31028"/>
    <w:rsid w:val="39D3EDCD"/>
    <w:rsid w:val="39F48026"/>
    <w:rsid w:val="39F55B1C"/>
    <w:rsid w:val="39F6E08B"/>
    <w:rsid w:val="39FFEA07"/>
    <w:rsid w:val="3A1CB98D"/>
    <w:rsid w:val="3A394625"/>
    <w:rsid w:val="3A505BD0"/>
    <w:rsid w:val="3A664DA3"/>
    <w:rsid w:val="3A7621EC"/>
    <w:rsid w:val="3A819096"/>
    <w:rsid w:val="3A81C083"/>
    <w:rsid w:val="3A8D52BB"/>
    <w:rsid w:val="3A9E46D9"/>
    <w:rsid w:val="3AA41D38"/>
    <w:rsid w:val="3AA4E822"/>
    <w:rsid w:val="3AAA347C"/>
    <w:rsid w:val="3AC8D0B3"/>
    <w:rsid w:val="3AD1C4B0"/>
    <w:rsid w:val="3AD50B6D"/>
    <w:rsid w:val="3AD51CBE"/>
    <w:rsid w:val="3AE53A46"/>
    <w:rsid w:val="3AF9EA57"/>
    <w:rsid w:val="3B1CF644"/>
    <w:rsid w:val="3B34FD30"/>
    <w:rsid w:val="3B3B6BA8"/>
    <w:rsid w:val="3B449857"/>
    <w:rsid w:val="3B4ABD9D"/>
    <w:rsid w:val="3B5DF43C"/>
    <w:rsid w:val="3B67C40D"/>
    <w:rsid w:val="3B6D95F0"/>
    <w:rsid w:val="3B70383A"/>
    <w:rsid w:val="3B713B9D"/>
    <w:rsid w:val="3B89DF00"/>
    <w:rsid w:val="3BAFA6C7"/>
    <w:rsid w:val="3BF8298B"/>
    <w:rsid w:val="3C04188C"/>
    <w:rsid w:val="3C0E0105"/>
    <w:rsid w:val="3C262C00"/>
    <w:rsid w:val="3C38010E"/>
    <w:rsid w:val="3C3D259E"/>
    <w:rsid w:val="3C434D8A"/>
    <w:rsid w:val="3C4BFA39"/>
    <w:rsid w:val="3C7C8A0B"/>
    <w:rsid w:val="3C8E6357"/>
    <w:rsid w:val="3C9CE0C3"/>
    <w:rsid w:val="3CA5AA11"/>
    <w:rsid w:val="3CA5F0C1"/>
    <w:rsid w:val="3CAABECD"/>
    <w:rsid w:val="3CADAB76"/>
    <w:rsid w:val="3CE068B8"/>
    <w:rsid w:val="3D10C68F"/>
    <w:rsid w:val="3D17DCCB"/>
    <w:rsid w:val="3D2E4FAB"/>
    <w:rsid w:val="3D457B11"/>
    <w:rsid w:val="3D530244"/>
    <w:rsid w:val="3D6635A6"/>
    <w:rsid w:val="3D72E037"/>
    <w:rsid w:val="3D81D574"/>
    <w:rsid w:val="3D8A9BA4"/>
    <w:rsid w:val="3D95FF52"/>
    <w:rsid w:val="3DAFB7BE"/>
    <w:rsid w:val="3DB41D4D"/>
    <w:rsid w:val="3DB8E766"/>
    <w:rsid w:val="3DC56E4C"/>
    <w:rsid w:val="3DD30BE2"/>
    <w:rsid w:val="3DF40F42"/>
    <w:rsid w:val="3DFE6325"/>
    <w:rsid w:val="3E007175"/>
    <w:rsid w:val="3E022374"/>
    <w:rsid w:val="3E3FFB1B"/>
    <w:rsid w:val="3E61109D"/>
    <w:rsid w:val="3E74BD4E"/>
    <w:rsid w:val="3E8DFAEA"/>
    <w:rsid w:val="3E922A6B"/>
    <w:rsid w:val="3E9373A3"/>
    <w:rsid w:val="3EA941D5"/>
    <w:rsid w:val="3EC7337C"/>
    <w:rsid w:val="3EC9E1C7"/>
    <w:rsid w:val="3ED27547"/>
    <w:rsid w:val="3EEC4473"/>
    <w:rsid w:val="3F129415"/>
    <w:rsid w:val="3F1C05FC"/>
    <w:rsid w:val="3F1E2F9F"/>
    <w:rsid w:val="3F31E571"/>
    <w:rsid w:val="3F3AA909"/>
    <w:rsid w:val="3F744AE1"/>
    <w:rsid w:val="3F85FB8D"/>
    <w:rsid w:val="3F9384D9"/>
    <w:rsid w:val="3FA2A146"/>
    <w:rsid w:val="3FBBDC4F"/>
    <w:rsid w:val="3FC2D7C0"/>
    <w:rsid w:val="3FDD81E5"/>
    <w:rsid w:val="3FE089A9"/>
    <w:rsid w:val="40013F0D"/>
    <w:rsid w:val="4010C27B"/>
    <w:rsid w:val="40175572"/>
    <w:rsid w:val="4031FDA7"/>
    <w:rsid w:val="4038E572"/>
    <w:rsid w:val="403B50B5"/>
    <w:rsid w:val="404EA164"/>
    <w:rsid w:val="405154C6"/>
    <w:rsid w:val="405176A9"/>
    <w:rsid w:val="405C4CD1"/>
    <w:rsid w:val="405E6C95"/>
    <w:rsid w:val="406325AF"/>
    <w:rsid w:val="406EB13F"/>
    <w:rsid w:val="40845958"/>
    <w:rsid w:val="4088EBE4"/>
    <w:rsid w:val="4096EF16"/>
    <w:rsid w:val="4097F302"/>
    <w:rsid w:val="40A7B558"/>
    <w:rsid w:val="40A93B28"/>
    <w:rsid w:val="40BAF7F1"/>
    <w:rsid w:val="40BBECFA"/>
    <w:rsid w:val="40C03E61"/>
    <w:rsid w:val="40E0F2E0"/>
    <w:rsid w:val="410E4312"/>
    <w:rsid w:val="4128EACB"/>
    <w:rsid w:val="412D1A42"/>
    <w:rsid w:val="416BBAF7"/>
    <w:rsid w:val="416C614E"/>
    <w:rsid w:val="416DE1BA"/>
    <w:rsid w:val="418BD45A"/>
    <w:rsid w:val="41B18C1D"/>
    <w:rsid w:val="41C65D61"/>
    <w:rsid w:val="41CDDA74"/>
    <w:rsid w:val="41D5B2D4"/>
    <w:rsid w:val="41E1476A"/>
    <w:rsid w:val="420ED4D0"/>
    <w:rsid w:val="421CEDCD"/>
    <w:rsid w:val="423B9797"/>
    <w:rsid w:val="423C8D3B"/>
    <w:rsid w:val="42530527"/>
    <w:rsid w:val="4254FACA"/>
    <w:rsid w:val="42566DBB"/>
    <w:rsid w:val="42669B43"/>
    <w:rsid w:val="42709F4B"/>
    <w:rsid w:val="4279E65B"/>
    <w:rsid w:val="42952F86"/>
    <w:rsid w:val="4299F86E"/>
    <w:rsid w:val="429CFCE3"/>
    <w:rsid w:val="42C8532B"/>
    <w:rsid w:val="42D4357C"/>
    <w:rsid w:val="42E1DE9D"/>
    <w:rsid w:val="42E5D474"/>
    <w:rsid w:val="42E73B72"/>
    <w:rsid w:val="42E75F78"/>
    <w:rsid w:val="43008207"/>
    <w:rsid w:val="4319AE28"/>
    <w:rsid w:val="432BA688"/>
    <w:rsid w:val="432C5935"/>
    <w:rsid w:val="43326F58"/>
    <w:rsid w:val="43347335"/>
    <w:rsid w:val="433F0A11"/>
    <w:rsid w:val="436C751F"/>
    <w:rsid w:val="436DD9EE"/>
    <w:rsid w:val="43A07C60"/>
    <w:rsid w:val="43EC8573"/>
    <w:rsid w:val="43EE7577"/>
    <w:rsid w:val="43F692C6"/>
    <w:rsid w:val="44025CD6"/>
    <w:rsid w:val="4421F094"/>
    <w:rsid w:val="4444260A"/>
    <w:rsid w:val="445642B4"/>
    <w:rsid w:val="44776588"/>
    <w:rsid w:val="4488F6E4"/>
    <w:rsid w:val="448B2995"/>
    <w:rsid w:val="44A65C17"/>
    <w:rsid w:val="44AB1E90"/>
    <w:rsid w:val="44AE16F8"/>
    <w:rsid w:val="44D849B3"/>
    <w:rsid w:val="44E6A654"/>
    <w:rsid w:val="450C5695"/>
    <w:rsid w:val="452C41E6"/>
    <w:rsid w:val="453A9375"/>
    <w:rsid w:val="454AB8DB"/>
    <w:rsid w:val="455BD99F"/>
    <w:rsid w:val="455EC408"/>
    <w:rsid w:val="456B4F58"/>
    <w:rsid w:val="458A4C93"/>
    <w:rsid w:val="4596839B"/>
    <w:rsid w:val="45A33433"/>
    <w:rsid w:val="45B55855"/>
    <w:rsid w:val="45B8B50C"/>
    <w:rsid w:val="45CDF107"/>
    <w:rsid w:val="45D171B3"/>
    <w:rsid w:val="45E08485"/>
    <w:rsid w:val="45E9F227"/>
    <w:rsid w:val="45FDB084"/>
    <w:rsid w:val="46000F93"/>
    <w:rsid w:val="4614CBA8"/>
    <w:rsid w:val="4637A79E"/>
    <w:rsid w:val="463E953C"/>
    <w:rsid w:val="46583F56"/>
    <w:rsid w:val="46706B94"/>
    <w:rsid w:val="46811B2A"/>
    <w:rsid w:val="4689CF99"/>
    <w:rsid w:val="469AC74B"/>
    <w:rsid w:val="46B6122B"/>
    <w:rsid w:val="46C09011"/>
    <w:rsid w:val="46D58FA3"/>
    <w:rsid w:val="46DD83DB"/>
    <w:rsid w:val="46DDF2C3"/>
    <w:rsid w:val="46DEAFA1"/>
    <w:rsid w:val="46EECF2B"/>
    <w:rsid w:val="46FC157D"/>
    <w:rsid w:val="47025724"/>
    <w:rsid w:val="47072BAD"/>
    <w:rsid w:val="4708D1C2"/>
    <w:rsid w:val="474291BC"/>
    <w:rsid w:val="474DC8B1"/>
    <w:rsid w:val="4758CC0F"/>
    <w:rsid w:val="47671066"/>
    <w:rsid w:val="47692F32"/>
    <w:rsid w:val="4769C168"/>
    <w:rsid w:val="477070D4"/>
    <w:rsid w:val="4773A2F6"/>
    <w:rsid w:val="477442EB"/>
    <w:rsid w:val="47758D8B"/>
    <w:rsid w:val="477B9639"/>
    <w:rsid w:val="47A31792"/>
    <w:rsid w:val="47BCA659"/>
    <w:rsid w:val="47BD33E7"/>
    <w:rsid w:val="47C0D899"/>
    <w:rsid w:val="47D1E19A"/>
    <w:rsid w:val="47DB948D"/>
    <w:rsid w:val="47E5E990"/>
    <w:rsid w:val="47EBA111"/>
    <w:rsid w:val="47F2049D"/>
    <w:rsid w:val="47F97EF3"/>
    <w:rsid w:val="47FA3CC4"/>
    <w:rsid w:val="480090B3"/>
    <w:rsid w:val="4803A479"/>
    <w:rsid w:val="48052982"/>
    <w:rsid w:val="4833CA24"/>
    <w:rsid w:val="483AA9AA"/>
    <w:rsid w:val="4867B465"/>
    <w:rsid w:val="486E4893"/>
    <w:rsid w:val="4877B7B6"/>
    <w:rsid w:val="488D402E"/>
    <w:rsid w:val="489A3027"/>
    <w:rsid w:val="489ADC76"/>
    <w:rsid w:val="48A4EC82"/>
    <w:rsid w:val="48C550C1"/>
    <w:rsid w:val="48D3435D"/>
    <w:rsid w:val="48D7EC32"/>
    <w:rsid w:val="48DC3C39"/>
    <w:rsid w:val="48E72FEB"/>
    <w:rsid w:val="48F5337B"/>
    <w:rsid w:val="4903D992"/>
    <w:rsid w:val="491088D4"/>
    <w:rsid w:val="49262087"/>
    <w:rsid w:val="493A3808"/>
    <w:rsid w:val="495AF60B"/>
    <w:rsid w:val="4974F208"/>
    <w:rsid w:val="49887887"/>
    <w:rsid w:val="49A934BE"/>
    <w:rsid w:val="49ADFDC6"/>
    <w:rsid w:val="49AE7B75"/>
    <w:rsid w:val="49B38D34"/>
    <w:rsid w:val="49B60359"/>
    <w:rsid w:val="49BAE899"/>
    <w:rsid w:val="49CEC2A3"/>
    <w:rsid w:val="49D8F734"/>
    <w:rsid w:val="4A2A84DC"/>
    <w:rsid w:val="4A2CEB72"/>
    <w:rsid w:val="4A31B8BA"/>
    <w:rsid w:val="4A452A1F"/>
    <w:rsid w:val="4A627710"/>
    <w:rsid w:val="4A825E53"/>
    <w:rsid w:val="4A8FD1DB"/>
    <w:rsid w:val="4A9FB6F7"/>
    <w:rsid w:val="4AA06F94"/>
    <w:rsid w:val="4ABBF688"/>
    <w:rsid w:val="4AC4A95B"/>
    <w:rsid w:val="4ACF2F05"/>
    <w:rsid w:val="4AD0D32B"/>
    <w:rsid w:val="4AE3DBA9"/>
    <w:rsid w:val="4AE49AD8"/>
    <w:rsid w:val="4AEB12B8"/>
    <w:rsid w:val="4AF60FDC"/>
    <w:rsid w:val="4B49A93D"/>
    <w:rsid w:val="4B4D3C16"/>
    <w:rsid w:val="4B6E67AC"/>
    <w:rsid w:val="4B7840E8"/>
    <w:rsid w:val="4BC856F3"/>
    <w:rsid w:val="4BCAB897"/>
    <w:rsid w:val="4BF79FEE"/>
    <w:rsid w:val="4C0CF2AD"/>
    <w:rsid w:val="4C299005"/>
    <w:rsid w:val="4C439744"/>
    <w:rsid w:val="4C46A462"/>
    <w:rsid w:val="4C4D4F71"/>
    <w:rsid w:val="4C609C12"/>
    <w:rsid w:val="4CACA7F3"/>
    <w:rsid w:val="4CB310AA"/>
    <w:rsid w:val="4CDDA161"/>
    <w:rsid w:val="4CE3231B"/>
    <w:rsid w:val="4CEBDD57"/>
    <w:rsid w:val="4D02832A"/>
    <w:rsid w:val="4D0A0C27"/>
    <w:rsid w:val="4D13038E"/>
    <w:rsid w:val="4D327261"/>
    <w:rsid w:val="4D33DDFE"/>
    <w:rsid w:val="4D5CDB87"/>
    <w:rsid w:val="4D638FDC"/>
    <w:rsid w:val="4D77425D"/>
    <w:rsid w:val="4D810F77"/>
    <w:rsid w:val="4D866B59"/>
    <w:rsid w:val="4D86D296"/>
    <w:rsid w:val="4D9218F9"/>
    <w:rsid w:val="4D966E24"/>
    <w:rsid w:val="4DB884F0"/>
    <w:rsid w:val="4DBF515C"/>
    <w:rsid w:val="4DC8B23C"/>
    <w:rsid w:val="4DE5C6E7"/>
    <w:rsid w:val="4DE7219F"/>
    <w:rsid w:val="4DEF31BB"/>
    <w:rsid w:val="4DF6ED00"/>
    <w:rsid w:val="4E070FFC"/>
    <w:rsid w:val="4E1066F6"/>
    <w:rsid w:val="4E118D10"/>
    <w:rsid w:val="4E16F810"/>
    <w:rsid w:val="4E174C44"/>
    <w:rsid w:val="4E195988"/>
    <w:rsid w:val="4E35A8FF"/>
    <w:rsid w:val="4E3AA6AD"/>
    <w:rsid w:val="4E41888D"/>
    <w:rsid w:val="4E4652F9"/>
    <w:rsid w:val="4E6F1CBF"/>
    <w:rsid w:val="4E8A9E6A"/>
    <w:rsid w:val="4EA47239"/>
    <w:rsid w:val="4EB27999"/>
    <w:rsid w:val="4EBA694E"/>
    <w:rsid w:val="4EC861CE"/>
    <w:rsid w:val="4ED01BA8"/>
    <w:rsid w:val="4EE08E85"/>
    <w:rsid w:val="4EE316AB"/>
    <w:rsid w:val="4EE7A611"/>
    <w:rsid w:val="4EF320E8"/>
    <w:rsid w:val="4EFFC93F"/>
    <w:rsid w:val="4F094D88"/>
    <w:rsid w:val="4F11135E"/>
    <w:rsid w:val="4F15529F"/>
    <w:rsid w:val="4F1CAF7C"/>
    <w:rsid w:val="4F563E54"/>
    <w:rsid w:val="4F6D5D5E"/>
    <w:rsid w:val="4F85BD74"/>
    <w:rsid w:val="4FA988C9"/>
    <w:rsid w:val="4FAEC227"/>
    <w:rsid w:val="4FBA7DD1"/>
    <w:rsid w:val="4FCE485E"/>
    <w:rsid w:val="4FE6B10A"/>
    <w:rsid w:val="4FF068E6"/>
    <w:rsid w:val="50027239"/>
    <w:rsid w:val="50055CF4"/>
    <w:rsid w:val="5014C5B9"/>
    <w:rsid w:val="5047600C"/>
    <w:rsid w:val="50608C1B"/>
    <w:rsid w:val="506497D9"/>
    <w:rsid w:val="506EB2C6"/>
    <w:rsid w:val="5080AB58"/>
    <w:rsid w:val="50833712"/>
    <w:rsid w:val="50A3B30F"/>
    <w:rsid w:val="50AED741"/>
    <w:rsid w:val="50B68670"/>
    <w:rsid w:val="50B6B793"/>
    <w:rsid w:val="50CCA99C"/>
    <w:rsid w:val="50CCB06F"/>
    <w:rsid w:val="50E063A4"/>
    <w:rsid w:val="50E86753"/>
    <w:rsid w:val="50F20EB5"/>
    <w:rsid w:val="50F40101"/>
    <w:rsid w:val="50FCD72D"/>
    <w:rsid w:val="5108D026"/>
    <w:rsid w:val="51118919"/>
    <w:rsid w:val="511305D2"/>
    <w:rsid w:val="5116EA96"/>
    <w:rsid w:val="512AB11D"/>
    <w:rsid w:val="512D8351"/>
    <w:rsid w:val="51325A41"/>
    <w:rsid w:val="5143E01E"/>
    <w:rsid w:val="5143E0BF"/>
    <w:rsid w:val="51512333"/>
    <w:rsid w:val="51752945"/>
    <w:rsid w:val="517CB971"/>
    <w:rsid w:val="5186046D"/>
    <w:rsid w:val="51A770AD"/>
    <w:rsid w:val="51A8A2F2"/>
    <w:rsid w:val="51BE2ECA"/>
    <w:rsid w:val="51C12422"/>
    <w:rsid w:val="51C9E8B8"/>
    <w:rsid w:val="51DFE8EC"/>
    <w:rsid w:val="51F76163"/>
    <w:rsid w:val="520B3B22"/>
    <w:rsid w:val="522AEDFD"/>
    <w:rsid w:val="52341B5A"/>
    <w:rsid w:val="524110A5"/>
    <w:rsid w:val="525D0E15"/>
    <w:rsid w:val="526A8D9A"/>
    <w:rsid w:val="52799D42"/>
    <w:rsid w:val="52843306"/>
    <w:rsid w:val="528B7BF7"/>
    <w:rsid w:val="528DDF16"/>
    <w:rsid w:val="52974B87"/>
    <w:rsid w:val="529EADA9"/>
    <w:rsid w:val="52AB8179"/>
    <w:rsid w:val="52B0A88B"/>
    <w:rsid w:val="52B11B8B"/>
    <w:rsid w:val="52C5BE7B"/>
    <w:rsid w:val="52CBFA0E"/>
    <w:rsid w:val="52E0794D"/>
    <w:rsid w:val="52EF197F"/>
    <w:rsid w:val="531804A6"/>
    <w:rsid w:val="53210FE8"/>
    <w:rsid w:val="53269961"/>
    <w:rsid w:val="532F2A23"/>
    <w:rsid w:val="533281FB"/>
    <w:rsid w:val="5342AAF8"/>
    <w:rsid w:val="534B2502"/>
    <w:rsid w:val="535442DB"/>
    <w:rsid w:val="53607848"/>
    <w:rsid w:val="5387A1E7"/>
    <w:rsid w:val="53A4A6FE"/>
    <w:rsid w:val="53D052BA"/>
    <w:rsid w:val="53ED7EB3"/>
    <w:rsid w:val="540CC8C9"/>
    <w:rsid w:val="540F47A0"/>
    <w:rsid w:val="541A1ED2"/>
    <w:rsid w:val="541B4C01"/>
    <w:rsid w:val="54364510"/>
    <w:rsid w:val="543752D4"/>
    <w:rsid w:val="5445E24B"/>
    <w:rsid w:val="544ADAFA"/>
    <w:rsid w:val="544C57C3"/>
    <w:rsid w:val="544CDA6D"/>
    <w:rsid w:val="545C2468"/>
    <w:rsid w:val="54618EDC"/>
    <w:rsid w:val="546DD6DE"/>
    <w:rsid w:val="5477DCAF"/>
    <w:rsid w:val="549C2681"/>
    <w:rsid w:val="54A0EE93"/>
    <w:rsid w:val="54A98A71"/>
    <w:rsid w:val="54B62D60"/>
    <w:rsid w:val="54BDB8A9"/>
    <w:rsid w:val="54D6D116"/>
    <w:rsid w:val="54D73ECF"/>
    <w:rsid w:val="54E6F563"/>
    <w:rsid w:val="54EF5A4C"/>
    <w:rsid w:val="54F32A04"/>
    <w:rsid w:val="5511BB57"/>
    <w:rsid w:val="551FDE20"/>
    <w:rsid w:val="5520B0BD"/>
    <w:rsid w:val="552E0FD7"/>
    <w:rsid w:val="5534AD1F"/>
    <w:rsid w:val="5554B518"/>
    <w:rsid w:val="556BC6E0"/>
    <w:rsid w:val="55B1D697"/>
    <w:rsid w:val="55BC9902"/>
    <w:rsid w:val="55E986D7"/>
    <w:rsid w:val="55FE1ACF"/>
    <w:rsid w:val="5606E64E"/>
    <w:rsid w:val="56106C4D"/>
    <w:rsid w:val="561F0A70"/>
    <w:rsid w:val="564CFFE3"/>
    <w:rsid w:val="5654EE75"/>
    <w:rsid w:val="565F7D76"/>
    <w:rsid w:val="56620361"/>
    <w:rsid w:val="5662A033"/>
    <w:rsid w:val="566E7AB7"/>
    <w:rsid w:val="569671E9"/>
    <w:rsid w:val="56BEAB31"/>
    <w:rsid w:val="56C6A307"/>
    <w:rsid w:val="56DF5132"/>
    <w:rsid w:val="56FCD6C3"/>
    <w:rsid w:val="57014B2A"/>
    <w:rsid w:val="57326F0F"/>
    <w:rsid w:val="57435265"/>
    <w:rsid w:val="5743B90E"/>
    <w:rsid w:val="575C51FF"/>
    <w:rsid w:val="57622AF6"/>
    <w:rsid w:val="578D823C"/>
    <w:rsid w:val="579110F5"/>
    <w:rsid w:val="5799C29A"/>
    <w:rsid w:val="57A6BC05"/>
    <w:rsid w:val="57B544BB"/>
    <w:rsid w:val="57D9D83C"/>
    <w:rsid w:val="57E8965E"/>
    <w:rsid w:val="5800808E"/>
    <w:rsid w:val="581C7C85"/>
    <w:rsid w:val="581F8B6D"/>
    <w:rsid w:val="583C8016"/>
    <w:rsid w:val="5840F2C4"/>
    <w:rsid w:val="584AB73C"/>
    <w:rsid w:val="5855A5D1"/>
    <w:rsid w:val="585661B1"/>
    <w:rsid w:val="5876BE91"/>
    <w:rsid w:val="5877C2B7"/>
    <w:rsid w:val="58880E4E"/>
    <w:rsid w:val="588B580D"/>
    <w:rsid w:val="58938151"/>
    <w:rsid w:val="58A367A2"/>
    <w:rsid w:val="58B177A1"/>
    <w:rsid w:val="58C1752C"/>
    <w:rsid w:val="58D00E6C"/>
    <w:rsid w:val="59176F4F"/>
    <w:rsid w:val="591C0481"/>
    <w:rsid w:val="59313C1A"/>
    <w:rsid w:val="59322575"/>
    <w:rsid w:val="59480D0F"/>
    <w:rsid w:val="59675920"/>
    <w:rsid w:val="597F1FBC"/>
    <w:rsid w:val="59AA56D6"/>
    <w:rsid w:val="59BCCF73"/>
    <w:rsid w:val="59C29312"/>
    <w:rsid w:val="59C3D4B3"/>
    <w:rsid w:val="59D192DC"/>
    <w:rsid w:val="59D34092"/>
    <w:rsid w:val="59EA74B4"/>
    <w:rsid w:val="59F57DE6"/>
    <w:rsid w:val="5A0D9142"/>
    <w:rsid w:val="5A1B3D5F"/>
    <w:rsid w:val="5A55F860"/>
    <w:rsid w:val="5A66A81F"/>
    <w:rsid w:val="5A686573"/>
    <w:rsid w:val="5A69E9B6"/>
    <w:rsid w:val="5A8745EA"/>
    <w:rsid w:val="5A884DF7"/>
    <w:rsid w:val="5A900620"/>
    <w:rsid w:val="5AB1164C"/>
    <w:rsid w:val="5AC49BBB"/>
    <w:rsid w:val="5AD0D060"/>
    <w:rsid w:val="5AD43E08"/>
    <w:rsid w:val="5B02D1A1"/>
    <w:rsid w:val="5B203720"/>
    <w:rsid w:val="5B25AC11"/>
    <w:rsid w:val="5B2FAC5E"/>
    <w:rsid w:val="5B427B66"/>
    <w:rsid w:val="5B617256"/>
    <w:rsid w:val="5B6D53E9"/>
    <w:rsid w:val="5B7657C6"/>
    <w:rsid w:val="5B789386"/>
    <w:rsid w:val="5B7C80C7"/>
    <w:rsid w:val="5B8223AA"/>
    <w:rsid w:val="5BA51183"/>
    <w:rsid w:val="5BB64CD9"/>
    <w:rsid w:val="5BD20A45"/>
    <w:rsid w:val="5BEFCE72"/>
    <w:rsid w:val="5BFA218B"/>
    <w:rsid w:val="5C1570E2"/>
    <w:rsid w:val="5C5644B5"/>
    <w:rsid w:val="5C5F867D"/>
    <w:rsid w:val="5C7FADD1"/>
    <w:rsid w:val="5C883A11"/>
    <w:rsid w:val="5C898EC1"/>
    <w:rsid w:val="5CB5FB61"/>
    <w:rsid w:val="5CB7DA9B"/>
    <w:rsid w:val="5CC2DC4C"/>
    <w:rsid w:val="5CC4FA72"/>
    <w:rsid w:val="5CCAE11A"/>
    <w:rsid w:val="5D2FA55B"/>
    <w:rsid w:val="5D4D9315"/>
    <w:rsid w:val="5D51A056"/>
    <w:rsid w:val="5D5C9EF3"/>
    <w:rsid w:val="5D65B68C"/>
    <w:rsid w:val="5D6B3EAA"/>
    <w:rsid w:val="5D7A6B88"/>
    <w:rsid w:val="5DA16AC4"/>
    <w:rsid w:val="5DA59EDE"/>
    <w:rsid w:val="5DA71A1E"/>
    <w:rsid w:val="5DA8857C"/>
    <w:rsid w:val="5DAD2544"/>
    <w:rsid w:val="5DB4D7E2"/>
    <w:rsid w:val="5DD50A0C"/>
    <w:rsid w:val="5DD88F1A"/>
    <w:rsid w:val="5DDE6F44"/>
    <w:rsid w:val="5DE2CF27"/>
    <w:rsid w:val="5E031CB4"/>
    <w:rsid w:val="5E07DE67"/>
    <w:rsid w:val="5E089D06"/>
    <w:rsid w:val="5E18BA23"/>
    <w:rsid w:val="5E41AE3F"/>
    <w:rsid w:val="5E421C48"/>
    <w:rsid w:val="5E52E3FE"/>
    <w:rsid w:val="5E5336DF"/>
    <w:rsid w:val="5E60CAD3"/>
    <w:rsid w:val="5E64F8B8"/>
    <w:rsid w:val="5E66E377"/>
    <w:rsid w:val="5E78067D"/>
    <w:rsid w:val="5E827481"/>
    <w:rsid w:val="5EC0854D"/>
    <w:rsid w:val="5ECB0938"/>
    <w:rsid w:val="5ECD0497"/>
    <w:rsid w:val="5ECFD672"/>
    <w:rsid w:val="5ED6C267"/>
    <w:rsid w:val="5EEDED9B"/>
    <w:rsid w:val="5EF66F8C"/>
    <w:rsid w:val="5F02DEF2"/>
    <w:rsid w:val="5F09138F"/>
    <w:rsid w:val="5F1281E8"/>
    <w:rsid w:val="5F1E77E3"/>
    <w:rsid w:val="5F3D2322"/>
    <w:rsid w:val="5F4B4B05"/>
    <w:rsid w:val="5F5EAB66"/>
    <w:rsid w:val="5F77D356"/>
    <w:rsid w:val="5F806A14"/>
    <w:rsid w:val="5F8DC518"/>
    <w:rsid w:val="5F92E067"/>
    <w:rsid w:val="5F92F8F5"/>
    <w:rsid w:val="5FC231F5"/>
    <w:rsid w:val="5FC348FB"/>
    <w:rsid w:val="5FCBD9DF"/>
    <w:rsid w:val="5FCC97FF"/>
    <w:rsid w:val="5FFCBBA2"/>
    <w:rsid w:val="601CE71F"/>
    <w:rsid w:val="603AC9D2"/>
    <w:rsid w:val="60450EC5"/>
    <w:rsid w:val="604EE809"/>
    <w:rsid w:val="60681F63"/>
    <w:rsid w:val="60757D43"/>
    <w:rsid w:val="608CFCA3"/>
    <w:rsid w:val="60ABD3A9"/>
    <w:rsid w:val="60AE4C39"/>
    <w:rsid w:val="60AEC5AB"/>
    <w:rsid w:val="60BC4559"/>
    <w:rsid w:val="60E2CC24"/>
    <w:rsid w:val="60F7EC2A"/>
    <w:rsid w:val="610AFD6D"/>
    <w:rsid w:val="610D23D9"/>
    <w:rsid w:val="611C1FBC"/>
    <w:rsid w:val="61234C2D"/>
    <w:rsid w:val="6130F81E"/>
    <w:rsid w:val="61340D0C"/>
    <w:rsid w:val="61643FC9"/>
    <w:rsid w:val="6185E752"/>
    <w:rsid w:val="6193158F"/>
    <w:rsid w:val="61AF0FC7"/>
    <w:rsid w:val="61C23953"/>
    <w:rsid w:val="61ED7635"/>
    <w:rsid w:val="6208FB77"/>
    <w:rsid w:val="621AD85E"/>
    <w:rsid w:val="621D64C0"/>
    <w:rsid w:val="62258E5D"/>
    <w:rsid w:val="62787485"/>
    <w:rsid w:val="62A37DA0"/>
    <w:rsid w:val="62B6EDCE"/>
    <w:rsid w:val="62E4D451"/>
    <w:rsid w:val="630C422D"/>
    <w:rsid w:val="631A3A60"/>
    <w:rsid w:val="631F5FFC"/>
    <w:rsid w:val="63302434"/>
    <w:rsid w:val="63329FB0"/>
    <w:rsid w:val="6332EC5D"/>
    <w:rsid w:val="633F2154"/>
    <w:rsid w:val="635275CE"/>
    <w:rsid w:val="6359BB33"/>
    <w:rsid w:val="637151D6"/>
    <w:rsid w:val="63796167"/>
    <w:rsid w:val="6387D716"/>
    <w:rsid w:val="63A4AD5A"/>
    <w:rsid w:val="63CF04B8"/>
    <w:rsid w:val="63CF6826"/>
    <w:rsid w:val="63E5D9D1"/>
    <w:rsid w:val="640C9DF5"/>
    <w:rsid w:val="642056BB"/>
    <w:rsid w:val="6424D495"/>
    <w:rsid w:val="6435AA92"/>
    <w:rsid w:val="643B5F36"/>
    <w:rsid w:val="64576C7E"/>
    <w:rsid w:val="645984F3"/>
    <w:rsid w:val="6465632A"/>
    <w:rsid w:val="64838935"/>
    <w:rsid w:val="648A7B93"/>
    <w:rsid w:val="64AB032A"/>
    <w:rsid w:val="64AD6D7A"/>
    <w:rsid w:val="64D95C42"/>
    <w:rsid w:val="64E73320"/>
    <w:rsid w:val="64F58B94"/>
    <w:rsid w:val="64FBE0F1"/>
    <w:rsid w:val="6503A224"/>
    <w:rsid w:val="6553F31F"/>
    <w:rsid w:val="655A3798"/>
    <w:rsid w:val="655D6A57"/>
    <w:rsid w:val="6561D035"/>
    <w:rsid w:val="6563069D"/>
    <w:rsid w:val="65771B48"/>
    <w:rsid w:val="657BE547"/>
    <w:rsid w:val="658CDE25"/>
    <w:rsid w:val="658EDFC9"/>
    <w:rsid w:val="659E4977"/>
    <w:rsid w:val="65A8167D"/>
    <w:rsid w:val="65BA2326"/>
    <w:rsid w:val="65C31EFA"/>
    <w:rsid w:val="65DB37E8"/>
    <w:rsid w:val="65E0830D"/>
    <w:rsid w:val="65E1A825"/>
    <w:rsid w:val="65E1F6A4"/>
    <w:rsid w:val="65EB7048"/>
    <w:rsid w:val="65F9F9F9"/>
    <w:rsid w:val="65FA4F56"/>
    <w:rsid w:val="660F3EA9"/>
    <w:rsid w:val="6610EC64"/>
    <w:rsid w:val="661E8A3A"/>
    <w:rsid w:val="6652980E"/>
    <w:rsid w:val="6653FD63"/>
    <w:rsid w:val="665C6853"/>
    <w:rsid w:val="6660CB01"/>
    <w:rsid w:val="6681C20E"/>
    <w:rsid w:val="66A3313F"/>
    <w:rsid w:val="66D309AD"/>
    <w:rsid w:val="66D5FA8C"/>
    <w:rsid w:val="67041895"/>
    <w:rsid w:val="6706044C"/>
    <w:rsid w:val="67074E61"/>
    <w:rsid w:val="6740E8F4"/>
    <w:rsid w:val="675292B9"/>
    <w:rsid w:val="675EF488"/>
    <w:rsid w:val="67768375"/>
    <w:rsid w:val="678A0949"/>
    <w:rsid w:val="678F0D40"/>
    <w:rsid w:val="67CC0C40"/>
    <w:rsid w:val="6819EBD9"/>
    <w:rsid w:val="6829B2B6"/>
    <w:rsid w:val="682D2C56"/>
    <w:rsid w:val="682F8662"/>
    <w:rsid w:val="6846353A"/>
    <w:rsid w:val="684843B1"/>
    <w:rsid w:val="68502596"/>
    <w:rsid w:val="685F0414"/>
    <w:rsid w:val="68683882"/>
    <w:rsid w:val="687BA784"/>
    <w:rsid w:val="68840C47"/>
    <w:rsid w:val="6886663D"/>
    <w:rsid w:val="68A1D4AD"/>
    <w:rsid w:val="68BD03EF"/>
    <w:rsid w:val="68D762FE"/>
    <w:rsid w:val="68E9B70A"/>
    <w:rsid w:val="68EDFA37"/>
    <w:rsid w:val="68EF581C"/>
    <w:rsid w:val="68F6B17E"/>
    <w:rsid w:val="68F77318"/>
    <w:rsid w:val="6927D21C"/>
    <w:rsid w:val="6935B0CC"/>
    <w:rsid w:val="6952C707"/>
    <w:rsid w:val="69555C6B"/>
    <w:rsid w:val="6957CF0F"/>
    <w:rsid w:val="695C25F2"/>
    <w:rsid w:val="695D6018"/>
    <w:rsid w:val="6964AA58"/>
    <w:rsid w:val="6968E109"/>
    <w:rsid w:val="697BA72E"/>
    <w:rsid w:val="699FA9BA"/>
    <w:rsid w:val="69A1C398"/>
    <w:rsid w:val="69AFD45A"/>
    <w:rsid w:val="69B0988B"/>
    <w:rsid w:val="69B09D81"/>
    <w:rsid w:val="69DB79D6"/>
    <w:rsid w:val="69DDC18E"/>
    <w:rsid w:val="69F61F0B"/>
    <w:rsid w:val="6A01D085"/>
    <w:rsid w:val="6A2FA628"/>
    <w:rsid w:val="6A594CC6"/>
    <w:rsid w:val="6A5BBCBC"/>
    <w:rsid w:val="6A685906"/>
    <w:rsid w:val="6A6869E9"/>
    <w:rsid w:val="6A6A4BED"/>
    <w:rsid w:val="6A80F4DF"/>
    <w:rsid w:val="6A999CFE"/>
    <w:rsid w:val="6A9DC2BA"/>
    <w:rsid w:val="6AAA56C0"/>
    <w:rsid w:val="6AC62C1A"/>
    <w:rsid w:val="6ACA3DC7"/>
    <w:rsid w:val="6ADABD12"/>
    <w:rsid w:val="6ADD90AC"/>
    <w:rsid w:val="6AF19DBA"/>
    <w:rsid w:val="6AFB3520"/>
    <w:rsid w:val="6B01DD4D"/>
    <w:rsid w:val="6B26383C"/>
    <w:rsid w:val="6B2A238F"/>
    <w:rsid w:val="6B3E8B5C"/>
    <w:rsid w:val="6B57F3BE"/>
    <w:rsid w:val="6B89EDBD"/>
    <w:rsid w:val="6BCBA068"/>
    <w:rsid w:val="6BCC70A3"/>
    <w:rsid w:val="6BD2E9AA"/>
    <w:rsid w:val="6BDA3E90"/>
    <w:rsid w:val="6BF4BA6C"/>
    <w:rsid w:val="6C020F3B"/>
    <w:rsid w:val="6C02EAFF"/>
    <w:rsid w:val="6C11D271"/>
    <w:rsid w:val="6C14C53C"/>
    <w:rsid w:val="6C2F13DA"/>
    <w:rsid w:val="6C51E84F"/>
    <w:rsid w:val="6C794265"/>
    <w:rsid w:val="6C9C9A89"/>
    <w:rsid w:val="6C9F0CCD"/>
    <w:rsid w:val="6CA4477C"/>
    <w:rsid w:val="6CA51E8C"/>
    <w:rsid w:val="6CB1B951"/>
    <w:rsid w:val="6CC1CE04"/>
    <w:rsid w:val="6CEA697D"/>
    <w:rsid w:val="6CFA7440"/>
    <w:rsid w:val="6D086219"/>
    <w:rsid w:val="6D13FD57"/>
    <w:rsid w:val="6D21AC3D"/>
    <w:rsid w:val="6D2CFD08"/>
    <w:rsid w:val="6D515E17"/>
    <w:rsid w:val="6D564870"/>
    <w:rsid w:val="6D5C1D73"/>
    <w:rsid w:val="6D69BE9A"/>
    <w:rsid w:val="6D7D325B"/>
    <w:rsid w:val="6D7F0494"/>
    <w:rsid w:val="6D908F52"/>
    <w:rsid w:val="6D974026"/>
    <w:rsid w:val="6DACDBB3"/>
    <w:rsid w:val="6DC06FAE"/>
    <w:rsid w:val="6DC507F1"/>
    <w:rsid w:val="6DCE34BF"/>
    <w:rsid w:val="6DD57AB0"/>
    <w:rsid w:val="6DF4906D"/>
    <w:rsid w:val="6E105AA2"/>
    <w:rsid w:val="6E11C65C"/>
    <w:rsid w:val="6E2313C7"/>
    <w:rsid w:val="6E232186"/>
    <w:rsid w:val="6E613A87"/>
    <w:rsid w:val="6E62B1CD"/>
    <w:rsid w:val="6E6FD0F0"/>
    <w:rsid w:val="6E7B794E"/>
    <w:rsid w:val="6EA63176"/>
    <w:rsid w:val="6EA7FAF4"/>
    <w:rsid w:val="6EBCE0C6"/>
    <w:rsid w:val="6EEAE908"/>
    <w:rsid w:val="6EF7EDD4"/>
    <w:rsid w:val="6F09FB71"/>
    <w:rsid w:val="6F0C6BF9"/>
    <w:rsid w:val="6F16B0F8"/>
    <w:rsid w:val="6F35231C"/>
    <w:rsid w:val="6F673302"/>
    <w:rsid w:val="6F75BFCA"/>
    <w:rsid w:val="6F802633"/>
    <w:rsid w:val="6F88DDA6"/>
    <w:rsid w:val="6F8EA44E"/>
    <w:rsid w:val="6F8EACE4"/>
    <w:rsid w:val="6FA2F332"/>
    <w:rsid w:val="6FB16233"/>
    <w:rsid w:val="6FB5848D"/>
    <w:rsid w:val="6FE5B3B2"/>
    <w:rsid w:val="6FFB8786"/>
    <w:rsid w:val="70002EBB"/>
    <w:rsid w:val="70035CC2"/>
    <w:rsid w:val="70069D1A"/>
    <w:rsid w:val="7018ECEB"/>
    <w:rsid w:val="7025F9DD"/>
    <w:rsid w:val="7074C0D5"/>
    <w:rsid w:val="70773152"/>
    <w:rsid w:val="7079B8EE"/>
    <w:rsid w:val="707D3355"/>
    <w:rsid w:val="708D51BA"/>
    <w:rsid w:val="70A16E02"/>
    <w:rsid w:val="70BB5F6B"/>
    <w:rsid w:val="70D1121E"/>
    <w:rsid w:val="70D44B42"/>
    <w:rsid w:val="70ED5994"/>
    <w:rsid w:val="70EF0773"/>
    <w:rsid w:val="70F9A407"/>
    <w:rsid w:val="71196AEF"/>
    <w:rsid w:val="7124767A"/>
    <w:rsid w:val="713D2E17"/>
    <w:rsid w:val="716D30EA"/>
    <w:rsid w:val="71758D90"/>
    <w:rsid w:val="71A4C03C"/>
    <w:rsid w:val="71C3D44B"/>
    <w:rsid w:val="71C5F91E"/>
    <w:rsid w:val="71CD6D1C"/>
    <w:rsid w:val="71D1B3A3"/>
    <w:rsid w:val="7205E65A"/>
    <w:rsid w:val="7210A296"/>
    <w:rsid w:val="72143A0A"/>
    <w:rsid w:val="7218B092"/>
    <w:rsid w:val="72206B47"/>
    <w:rsid w:val="722E712E"/>
    <w:rsid w:val="72330DB8"/>
    <w:rsid w:val="72479ED2"/>
    <w:rsid w:val="724BFA41"/>
    <w:rsid w:val="725C151B"/>
    <w:rsid w:val="726B4405"/>
    <w:rsid w:val="726E29ED"/>
    <w:rsid w:val="72846E3B"/>
    <w:rsid w:val="72B4F462"/>
    <w:rsid w:val="72C0B3EB"/>
    <w:rsid w:val="72E18251"/>
    <w:rsid w:val="72F03BF2"/>
    <w:rsid w:val="72F5D343"/>
    <w:rsid w:val="7322848E"/>
    <w:rsid w:val="7331F7DC"/>
    <w:rsid w:val="7336D38F"/>
    <w:rsid w:val="73396345"/>
    <w:rsid w:val="733AB9CC"/>
    <w:rsid w:val="734B0AFB"/>
    <w:rsid w:val="73656589"/>
    <w:rsid w:val="73857968"/>
    <w:rsid w:val="73B16169"/>
    <w:rsid w:val="73CC15B9"/>
    <w:rsid w:val="73CEAE3E"/>
    <w:rsid w:val="73D78288"/>
    <w:rsid w:val="73EA0373"/>
    <w:rsid w:val="73EEFE7C"/>
    <w:rsid w:val="73EF1061"/>
    <w:rsid w:val="73F88E94"/>
    <w:rsid w:val="73FCBADF"/>
    <w:rsid w:val="73FE6BA8"/>
    <w:rsid w:val="74175A63"/>
    <w:rsid w:val="742BFC6A"/>
    <w:rsid w:val="7442293E"/>
    <w:rsid w:val="744A42BE"/>
    <w:rsid w:val="746AF157"/>
    <w:rsid w:val="747CAAD4"/>
    <w:rsid w:val="74827C60"/>
    <w:rsid w:val="74862E20"/>
    <w:rsid w:val="748AD3EE"/>
    <w:rsid w:val="74DAEB3E"/>
    <w:rsid w:val="74DB5EE1"/>
    <w:rsid w:val="74F28701"/>
    <w:rsid w:val="7506E3DD"/>
    <w:rsid w:val="7512D83E"/>
    <w:rsid w:val="752FA549"/>
    <w:rsid w:val="75806951"/>
    <w:rsid w:val="75B0E8D0"/>
    <w:rsid w:val="75C5B999"/>
    <w:rsid w:val="761821B2"/>
    <w:rsid w:val="7629C130"/>
    <w:rsid w:val="764A8D8E"/>
    <w:rsid w:val="7658A5F3"/>
    <w:rsid w:val="76593C5C"/>
    <w:rsid w:val="766645A1"/>
    <w:rsid w:val="767A6B4E"/>
    <w:rsid w:val="76BAB6F1"/>
    <w:rsid w:val="76BB7715"/>
    <w:rsid w:val="76C109F3"/>
    <w:rsid w:val="76C795B8"/>
    <w:rsid w:val="76CB5216"/>
    <w:rsid w:val="76F5698C"/>
    <w:rsid w:val="76F8F59E"/>
    <w:rsid w:val="76FB40EA"/>
    <w:rsid w:val="770FDCD5"/>
    <w:rsid w:val="77294053"/>
    <w:rsid w:val="77388504"/>
    <w:rsid w:val="773CA0A6"/>
    <w:rsid w:val="774540ED"/>
    <w:rsid w:val="7753A827"/>
    <w:rsid w:val="77579F96"/>
    <w:rsid w:val="776286B6"/>
    <w:rsid w:val="7771295F"/>
    <w:rsid w:val="778A1FE8"/>
    <w:rsid w:val="77B43C5B"/>
    <w:rsid w:val="77C27185"/>
    <w:rsid w:val="77C5A316"/>
    <w:rsid w:val="77C80B8E"/>
    <w:rsid w:val="77E0100C"/>
    <w:rsid w:val="77F82874"/>
    <w:rsid w:val="7812FFA3"/>
    <w:rsid w:val="7832675D"/>
    <w:rsid w:val="7839DBE8"/>
    <w:rsid w:val="7845929C"/>
    <w:rsid w:val="78584BE2"/>
    <w:rsid w:val="786F12B5"/>
    <w:rsid w:val="787AC840"/>
    <w:rsid w:val="7882ED35"/>
    <w:rsid w:val="7883C7DA"/>
    <w:rsid w:val="78B2E4DC"/>
    <w:rsid w:val="78B31ED8"/>
    <w:rsid w:val="78C510B4"/>
    <w:rsid w:val="78CB2394"/>
    <w:rsid w:val="78E91043"/>
    <w:rsid w:val="78F0ADF6"/>
    <w:rsid w:val="78F11D35"/>
    <w:rsid w:val="78FDB924"/>
    <w:rsid w:val="7909FED3"/>
    <w:rsid w:val="794F2B66"/>
    <w:rsid w:val="79500CBC"/>
    <w:rsid w:val="795436DC"/>
    <w:rsid w:val="795857FC"/>
    <w:rsid w:val="7965796E"/>
    <w:rsid w:val="796E1595"/>
    <w:rsid w:val="79747F4E"/>
    <w:rsid w:val="79851468"/>
    <w:rsid w:val="798C07FB"/>
    <w:rsid w:val="798E2D74"/>
    <w:rsid w:val="79CFC0E9"/>
    <w:rsid w:val="79D40399"/>
    <w:rsid w:val="79D61719"/>
    <w:rsid w:val="79E1E038"/>
    <w:rsid w:val="79FA0922"/>
    <w:rsid w:val="79FA42C6"/>
    <w:rsid w:val="7A13EC10"/>
    <w:rsid w:val="7A22B9CC"/>
    <w:rsid w:val="7A2565BE"/>
    <w:rsid w:val="7A2992AD"/>
    <w:rsid w:val="7A2E3BE6"/>
    <w:rsid w:val="7A4EADF9"/>
    <w:rsid w:val="7A56E31F"/>
    <w:rsid w:val="7A5DE6C3"/>
    <w:rsid w:val="7AC9565A"/>
    <w:rsid w:val="7ACC3305"/>
    <w:rsid w:val="7AD859AC"/>
    <w:rsid w:val="7AE4282C"/>
    <w:rsid w:val="7AEB3EB8"/>
    <w:rsid w:val="7AF28D8D"/>
    <w:rsid w:val="7AF6C701"/>
    <w:rsid w:val="7AF6F62F"/>
    <w:rsid w:val="7B46F50B"/>
    <w:rsid w:val="7B4B60DA"/>
    <w:rsid w:val="7B4FE9C9"/>
    <w:rsid w:val="7B59B9D2"/>
    <w:rsid w:val="7B5A3434"/>
    <w:rsid w:val="7B76BBFA"/>
    <w:rsid w:val="7BB10CC0"/>
    <w:rsid w:val="7BBE4622"/>
    <w:rsid w:val="7BC15CEA"/>
    <w:rsid w:val="7BC186CC"/>
    <w:rsid w:val="7BEEDA24"/>
    <w:rsid w:val="7C307750"/>
    <w:rsid w:val="7C394A7B"/>
    <w:rsid w:val="7C410B52"/>
    <w:rsid w:val="7C4C769E"/>
    <w:rsid w:val="7C63ABC6"/>
    <w:rsid w:val="7C6A7FCC"/>
    <w:rsid w:val="7C8E97F8"/>
    <w:rsid w:val="7C9AA629"/>
    <w:rsid w:val="7CAF0479"/>
    <w:rsid w:val="7CD135C3"/>
    <w:rsid w:val="7CE097B7"/>
    <w:rsid w:val="7CE52020"/>
    <w:rsid w:val="7CFBD95D"/>
    <w:rsid w:val="7D0ACFE4"/>
    <w:rsid w:val="7D0B2C9E"/>
    <w:rsid w:val="7D312BE8"/>
    <w:rsid w:val="7D39620C"/>
    <w:rsid w:val="7D50A665"/>
    <w:rsid w:val="7D6C842A"/>
    <w:rsid w:val="7D76D117"/>
    <w:rsid w:val="7D80D071"/>
    <w:rsid w:val="7DD1AA9E"/>
    <w:rsid w:val="7DD49FF6"/>
    <w:rsid w:val="7DE9713A"/>
    <w:rsid w:val="7DEB93ED"/>
    <w:rsid w:val="7DEC6BBE"/>
    <w:rsid w:val="7E0A3AEA"/>
    <w:rsid w:val="7E10BF4F"/>
    <w:rsid w:val="7E1F490D"/>
    <w:rsid w:val="7E375F90"/>
    <w:rsid w:val="7E3FD707"/>
    <w:rsid w:val="7E62B96A"/>
    <w:rsid w:val="7E6A2BE9"/>
    <w:rsid w:val="7E7A52EE"/>
    <w:rsid w:val="7E98C562"/>
    <w:rsid w:val="7EA6C25C"/>
    <w:rsid w:val="7EB6132D"/>
    <w:rsid w:val="7EE65622"/>
    <w:rsid w:val="7EEBD1E9"/>
    <w:rsid w:val="7EEF3491"/>
    <w:rsid w:val="7EFD03D0"/>
    <w:rsid w:val="7F174D6D"/>
    <w:rsid w:val="7F322BC9"/>
    <w:rsid w:val="7F5009EF"/>
    <w:rsid w:val="7F77CABE"/>
    <w:rsid w:val="7F7B7C00"/>
    <w:rsid w:val="7F898FE9"/>
    <w:rsid w:val="7F8E5A08"/>
    <w:rsid w:val="7FBA5328"/>
    <w:rsid w:val="7FBD00F0"/>
    <w:rsid w:val="7FCAAD12"/>
    <w:rsid w:val="7FD8D457"/>
    <w:rsid w:val="7FF045A0"/>
  </w:rsids>
  <m:mathPr>
    <m:mathFont m:val="Cambria Math"/>
    <m:brkBin m:val="before"/>
    <m:brkBinSub m:val="--"/>
    <m:smallFrac m:val="0"/>
    <m:dispDef/>
    <m:lMargin m:val="0"/>
    <m:rMargin m:val="0"/>
    <m:defJc m:val="centerGroup"/>
    <m:wrapIndent m:val="1440"/>
    <m:intLim m:val="subSup"/>
    <m:naryLim m:val="undOvr"/>
  </m:mathPr>
  <w:themeFontLang w:val="de-DE"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strokecolor="none [3215]">
      <v:stroke color="none [3215]" weight="1pt"/>
    </o:shapedefaults>
    <o:shapelayout v:ext="edit">
      <o:idmap v:ext="edit" data="2"/>
    </o:shapelayout>
  </w:shapeDefaults>
  <w:decimalSymbol w:val=","/>
  <w:listSeparator w:val=";"/>
  <w14:docId w14:val="3E9B35CF"/>
  <w15:docId w15:val="{B299E80C-5B4B-4A58-855E-392AD52C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D009F"/>
    <w:rPr>
      <w:lang w:val="en-GB"/>
    </w:rPr>
  </w:style>
  <w:style w:type="paragraph" w:styleId="Heading1">
    <w:name w:val="heading 1"/>
    <w:basedOn w:val="Normal"/>
    <w:next w:val="Normal"/>
    <w:link w:val="Heading1Char"/>
    <w:uiPriority w:val="9"/>
    <w:qFormat/>
    <w:rsid w:val="004B6993"/>
    <w:pPr>
      <w:keepNext/>
      <w:keepLines/>
      <w:spacing w:before="480"/>
      <w:outlineLvl w:val="0"/>
    </w:pPr>
    <w:rPr>
      <w:rFonts w:asciiTheme="majorHAnsi" w:eastAsiaTheme="majorEastAsia" w:hAnsiTheme="majorHAnsi" w:cstheme="majorBidi"/>
      <w:b/>
      <w:bCs/>
      <w:color w:val="42447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egular">
    <w:name w:val="text regular"/>
    <w:basedOn w:val="Normal"/>
    <w:link w:val="textregularZchn"/>
    <w:qFormat/>
    <w:rsid w:val="00916ABB"/>
    <w:pPr>
      <w:spacing w:after="120"/>
      <w:jc w:val="both"/>
    </w:pPr>
  </w:style>
  <w:style w:type="paragraph" w:styleId="Header">
    <w:name w:val="header"/>
    <w:basedOn w:val="Normal"/>
    <w:link w:val="HeaderChar"/>
    <w:uiPriority w:val="99"/>
    <w:unhideWhenUsed/>
    <w:rsid w:val="00B04144"/>
    <w:pPr>
      <w:tabs>
        <w:tab w:val="center" w:pos="4536"/>
        <w:tab w:val="right" w:pos="9072"/>
      </w:tabs>
    </w:pPr>
  </w:style>
  <w:style w:type="character" w:customStyle="1" w:styleId="HeaderChar">
    <w:name w:val="Header Char"/>
    <w:basedOn w:val="DefaultParagraphFont"/>
    <w:link w:val="Header"/>
    <w:uiPriority w:val="99"/>
    <w:rsid w:val="00B04144"/>
  </w:style>
  <w:style w:type="paragraph" w:styleId="Footer">
    <w:name w:val="footer"/>
    <w:basedOn w:val="Normal"/>
    <w:link w:val="FooterChar"/>
    <w:uiPriority w:val="99"/>
    <w:rsid w:val="00B04144"/>
    <w:pPr>
      <w:tabs>
        <w:tab w:val="center" w:pos="4536"/>
        <w:tab w:val="right" w:pos="9072"/>
      </w:tabs>
    </w:pPr>
  </w:style>
  <w:style w:type="character" w:customStyle="1" w:styleId="FooterChar">
    <w:name w:val="Footer Char"/>
    <w:basedOn w:val="DefaultParagraphFont"/>
    <w:link w:val="Footer"/>
    <w:uiPriority w:val="99"/>
    <w:rsid w:val="00CD009F"/>
    <w:rPr>
      <w:lang w:val="en-GB"/>
    </w:rPr>
  </w:style>
  <w:style w:type="paragraph" w:styleId="BalloonText">
    <w:name w:val="Balloon Text"/>
    <w:basedOn w:val="Normal"/>
    <w:link w:val="BalloonTextChar"/>
    <w:uiPriority w:val="99"/>
    <w:semiHidden/>
    <w:unhideWhenUsed/>
    <w:rsid w:val="00B04144"/>
    <w:rPr>
      <w:rFonts w:ascii="Tahoma" w:hAnsi="Tahoma" w:cs="Tahoma"/>
      <w:sz w:val="16"/>
      <w:szCs w:val="16"/>
    </w:rPr>
  </w:style>
  <w:style w:type="character" w:customStyle="1" w:styleId="BalloonTextChar">
    <w:name w:val="Balloon Text Char"/>
    <w:basedOn w:val="DefaultParagraphFont"/>
    <w:link w:val="BalloonText"/>
    <w:uiPriority w:val="99"/>
    <w:semiHidden/>
    <w:rsid w:val="00B04144"/>
    <w:rPr>
      <w:rFonts w:ascii="Tahoma" w:hAnsi="Tahoma" w:cs="Tahoma"/>
      <w:sz w:val="16"/>
      <w:szCs w:val="16"/>
    </w:rPr>
  </w:style>
  <w:style w:type="paragraph" w:customStyle="1" w:styleId="headlineheader">
    <w:name w:val="headline header"/>
    <w:basedOn w:val="textregular"/>
    <w:uiPriority w:val="1"/>
    <w:qFormat/>
    <w:rsid w:val="001A1FAB"/>
    <w:pPr>
      <w:framePr w:hSpace="142" w:vSpace="5528" w:wrap="around" w:vAnchor="page" w:hAnchor="page" w:x="1362" w:y="5104"/>
      <w:spacing w:before="100" w:beforeAutospacing="1" w:after="100" w:afterAutospacing="1" w:line="276" w:lineRule="auto"/>
      <w:jc w:val="center"/>
    </w:pPr>
    <w:rPr>
      <w:rFonts w:asciiTheme="majorHAnsi" w:hAnsiTheme="majorHAnsi" w:cstheme="minorHAnsi"/>
      <w:b/>
      <w:color w:val="000000" w:themeColor="text1"/>
      <w:sz w:val="36"/>
      <w:szCs w:val="36"/>
    </w:rPr>
  </w:style>
  <w:style w:type="paragraph" w:customStyle="1" w:styleId="textheader">
    <w:name w:val="text header"/>
    <w:basedOn w:val="textregular"/>
    <w:uiPriority w:val="1"/>
    <w:qFormat/>
    <w:rsid w:val="00B30D59"/>
    <w:pPr>
      <w:spacing w:after="400" w:line="500" w:lineRule="exact"/>
    </w:pPr>
    <w:rPr>
      <w:rFonts w:asciiTheme="majorHAnsi" w:hAnsiTheme="majorHAnsi" w:cstheme="majorHAnsi"/>
      <w:color w:val="23236E" w:themeColor="text2"/>
      <w:sz w:val="40"/>
      <w:szCs w:val="40"/>
      <w:lang w:val="en-US"/>
    </w:rPr>
  </w:style>
  <w:style w:type="paragraph" w:customStyle="1" w:styleId="time">
    <w:name w:val="time"/>
    <w:basedOn w:val="textregular"/>
    <w:uiPriority w:val="1"/>
    <w:qFormat/>
    <w:rsid w:val="001A1FAB"/>
    <w:pPr>
      <w:framePr w:hSpace="142" w:vSpace="5528" w:wrap="around" w:vAnchor="page" w:hAnchor="page" w:x="1362" w:y="5104"/>
      <w:spacing w:before="100" w:beforeAutospacing="1" w:after="100" w:afterAutospacing="1" w:line="276" w:lineRule="auto"/>
    </w:pPr>
    <w:rPr>
      <w:rFonts w:cstheme="minorHAnsi"/>
      <w:color w:val="000000" w:themeColor="text1"/>
      <w:sz w:val="29"/>
      <w:szCs w:val="29"/>
    </w:rPr>
  </w:style>
  <w:style w:type="character" w:styleId="PlaceholderText">
    <w:name w:val="Placeholder Text"/>
    <w:basedOn w:val="DefaultParagraphFont"/>
    <w:uiPriority w:val="99"/>
    <w:semiHidden/>
    <w:rsid w:val="00903B95"/>
    <w:rPr>
      <w:color w:val="808080"/>
    </w:rPr>
  </w:style>
  <w:style w:type="paragraph" w:customStyle="1" w:styleId="headline1">
    <w:name w:val="headline 1"/>
    <w:basedOn w:val="textregular"/>
    <w:uiPriority w:val="2"/>
    <w:qFormat/>
    <w:rsid w:val="00AB70D5"/>
    <w:pPr>
      <w:numPr>
        <w:numId w:val="9"/>
      </w:numPr>
      <w:spacing w:before="400" w:line="340" w:lineRule="exact"/>
      <w:outlineLvl w:val="0"/>
    </w:pPr>
    <w:rPr>
      <w:rFonts w:ascii="Times New Roman" w:hAnsi="Times New Roman" w:cstheme="majorHAnsi"/>
      <w:b/>
      <w:color w:val="23236E" w:themeColor="text2"/>
      <w:sz w:val="24"/>
      <w:szCs w:val="28"/>
      <w:lang w:val="lt-LT"/>
    </w:rPr>
  </w:style>
  <w:style w:type="numbering" w:customStyle="1" w:styleId="XXXList">
    <w:name w:val="XXX_List"/>
    <w:basedOn w:val="NoList"/>
    <w:uiPriority w:val="99"/>
    <w:rsid w:val="00D9486F"/>
    <w:pPr>
      <w:numPr>
        <w:numId w:val="3"/>
      </w:numPr>
    </w:pPr>
  </w:style>
  <w:style w:type="character" w:customStyle="1" w:styleId="Heading1Char">
    <w:name w:val="Heading 1 Char"/>
    <w:basedOn w:val="DefaultParagraphFont"/>
    <w:link w:val="Heading1"/>
    <w:uiPriority w:val="9"/>
    <w:rsid w:val="004B6993"/>
    <w:rPr>
      <w:rFonts w:asciiTheme="majorHAnsi" w:eastAsiaTheme="majorEastAsia" w:hAnsiTheme="majorHAnsi" w:cstheme="majorBidi"/>
      <w:b/>
      <w:bCs/>
      <w:color w:val="424477" w:themeColor="accent1" w:themeShade="BF"/>
      <w:sz w:val="28"/>
      <w:szCs w:val="28"/>
    </w:rPr>
  </w:style>
  <w:style w:type="paragraph" w:styleId="TOC1">
    <w:name w:val="toc 1"/>
    <w:basedOn w:val="Normal"/>
    <w:next w:val="Normal"/>
    <w:autoRedefine/>
    <w:uiPriority w:val="39"/>
    <w:unhideWhenUsed/>
    <w:rsid w:val="000D0688"/>
    <w:pPr>
      <w:tabs>
        <w:tab w:val="left" w:pos="1100"/>
        <w:tab w:val="right" w:leader="dot" w:pos="9514"/>
      </w:tabs>
      <w:spacing w:after="120" w:line="276" w:lineRule="auto"/>
    </w:pPr>
    <w:rPr>
      <w:rFonts w:asciiTheme="majorHAnsi" w:hAnsiTheme="majorHAnsi"/>
    </w:rPr>
  </w:style>
  <w:style w:type="paragraph" w:styleId="TOCHeading">
    <w:name w:val="TOC Heading"/>
    <w:basedOn w:val="Heading1"/>
    <w:next w:val="Normal"/>
    <w:uiPriority w:val="39"/>
    <w:unhideWhenUsed/>
    <w:qFormat/>
    <w:rsid w:val="004B6993"/>
    <w:pPr>
      <w:spacing w:line="276" w:lineRule="auto"/>
      <w:outlineLvl w:val="9"/>
    </w:pPr>
  </w:style>
  <w:style w:type="character" w:styleId="Hyperlink">
    <w:name w:val="Hyperlink"/>
    <w:basedOn w:val="DefaultParagraphFont"/>
    <w:uiPriority w:val="99"/>
    <w:rsid w:val="0099378F"/>
    <w:rPr>
      <w:color w:val="0000FF" w:themeColor="hyperlink"/>
      <w:u w:val="single"/>
    </w:rPr>
  </w:style>
  <w:style w:type="paragraph" w:customStyle="1" w:styleId="decisionhead">
    <w:name w:val="decision head"/>
    <w:basedOn w:val="textregular"/>
    <w:uiPriority w:val="3"/>
    <w:qFormat/>
    <w:rsid w:val="00CD009F"/>
    <w:pPr>
      <w:pBdr>
        <w:top w:val="single" w:sz="24" w:space="1" w:color="B4B4C8" w:themeColor="accent4"/>
        <w:left w:val="single" w:sz="24" w:space="4" w:color="B4B4C8" w:themeColor="accent4"/>
        <w:bottom w:val="single" w:sz="24" w:space="1" w:color="B4B4C8" w:themeColor="accent4"/>
        <w:right w:val="single" w:sz="24" w:space="4" w:color="B4B4C8" w:themeColor="accent4"/>
      </w:pBdr>
      <w:shd w:val="clear" w:color="auto" w:fill="B4B4C8" w:themeFill="accent4"/>
      <w:spacing w:after="0" w:line="260" w:lineRule="exact"/>
      <w:ind w:left="170" w:right="170"/>
    </w:pPr>
    <w:rPr>
      <w:rFonts w:asciiTheme="majorHAnsi" w:hAnsiTheme="majorHAnsi" w:cstheme="majorHAnsi"/>
      <w:b/>
      <w:color w:val="23236E" w:themeColor="text2"/>
      <w:sz w:val="24"/>
      <w:szCs w:val="24"/>
    </w:rPr>
  </w:style>
  <w:style w:type="numbering" w:customStyle="1" w:styleId="XXXBulletList">
    <w:name w:val="XXX_Bullet List"/>
    <w:basedOn w:val="NoList"/>
    <w:uiPriority w:val="99"/>
    <w:rsid w:val="00590A19"/>
    <w:pPr>
      <w:numPr>
        <w:numId w:val="4"/>
      </w:numPr>
    </w:pPr>
  </w:style>
  <w:style w:type="paragraph" w:customStyle="1" w:styleId="decisionbullet1">
    <w:name w:val="decision bullet 1"/>
    <w:basedOn w:val="textregular"/>
    <w:uiPriority w:val="4"/>
    <w:qFormat/>
    <w:rsid w:val="00CD009F"/>
    <w:pPr>
      <w:numPr>
        <w:numId w:val="4"/>
      </w:numPr>
      <w:pBdr>
        <w:top w:val="single" w:sz="24" w:space="0" w:color="B4B4C8" w:themeColor="accent4"/>
        <w:left w:val="single" w:sz="24" w:space="4" w:color="B4B4C8" w:themeColor="accent4"/>
        <w:bottom w:val="single" w:sz="24" w:space="0" w:color="B4B4C8" w:themeColor="accent4"/>
        <w:right w:val="single" w:sz="24" w:space="4" w:color="B4B4C8" w:themeColor="accent4"/>
      </w:pBdr>
      <w:shd w:val="clear" w:color="auto" w:fill="B4B4C8" w:themeFill="accent4"/>
      <w:spacing w:after="0"/>
      <w:ind w:right="170"/>
    </w:pPr>
  </w:style>
  <w:style w:type="paragraph" w:customStyle="1" w:styleId="decisionbullet2">
    <w:name w:val="decision bullet 2"/>
    <w:basedOn w:val="textregular"/>
    <w:uiPriority w:val="4"/>
    <w:qFormat/>
    <w:rsid w:val="00B30D59"/>
    <w:pPr>
      <w:numPr>
        <w:ilvl w:val="1"/>
        <w:numId w:val="4"/>
      </w:numPr>
      <w:pBdr>
        <w:top w:val="single" w:sz="24" w:space="1" w:color="B4B4C8" w:themeColor="accent4"/>
        <w:left w:val="single" w:sz="24" w:space="21" w:color="B4B4C8" w:themeColor="accent4"/>
        <w:bottom w:val="single" w:sz="24" w:space="1" w:color="B4B4C8" w:themeColor="accent4"/>
        <w:right w:val="single" w:sz="24" w:space="4" w:color="B4B4C8" w:themeColor="accent4"/>
      </w:pBdr>
      <w:shd w:val="clear" w:color="auto" w:fill="B4B4C8" w:themeFill="accent4"/>
      <w:spacing w:after="0"/>
      <w:ind w:right="170"/>
    </w:pPr>
  </w:style>
  <w:style w:type="paragraph" w:customStyle="1" w:styleId="headline3">
    <w:name w:val="headline 3"/>
    <w:basedOn w:val="textregular"/>
    <w:uiPriority w:val="2"/>
    <w:qFormat/>
    <w:rsid w:val="000F693C"/>
    <w:pPr>
      <w:spacing w:after="20"/>
      <w:outlineLvl w:val="2"/>
    </w:pPr>
    <w:rPr>
      <w:b/>
    </w:rPr>
  </w:style>
  <w:style w:type="numbering" w:customStyle="1" w:styleId="XXXNummerierung">
    <w:name w:val="XXX_Nummerierung"/>
    <w:basedOn w:val="NoList"/>
    <w:uiPriority w:val="99"/>
    <w:rsid w:val="00E7480B"/>
    <w:pPr>
      <w:numPr>
        <w:numId w:val="8"/>
      </w:numPr>
    </w:pPr>
  </w:style>
  <w:style w:type="paragraph" w:customStyle="1" w:styleId="textenumeration">
    <w:name w:val="text enumeration"/>
    <w:basedOn w:val="textregular"/>
    <w:uiPriority w:val="4"/>
    <w:qFormat/>
    <w:rsid w:val="00E7480B"/>
    <w:pPr>
      <w:numPr>
        <w:numId w:val="5"/>
      </w:numPr>
      <w:contextualSpacing/>
    </w:pPr>
  </w:style>
  <w:style w:type="paragraph" w:customStyle="1" w:styleId="headline2">
    <w:name w:val="headline 2"/>
    <w:basedOn w:val="textregular"/>
    <w:uiPriority w:val="2"/>
    <w:qFormat/>
    <w:rsid w:val="003F4045"/>
    <w:pPr>
      <w:spacing w:line="260" w:lineRule="exact"/>
      <w:jc w:val="center"/>
      <w:outlineLvl w:val="1"/>
    </w:pPr>
    <w:rPr>
      <w:rFonts w:ascii="Times New Roman" w:hAnsi="Times New Roman" w:cstheme="majorHAnsi"/>
      <w:b/>
      <w:color w:val="23236E" w:themeColor="text2"/>
      <w:sz w:val="24"/>
      <w:szCs w:val="24"/>
    </w:rPr>
  </w:style>
  <w:style w:type="numbering" w:customStyle="1" w:styleId="XXXtextbullets">
    <w:name w:val="XXX_text bullets"/>
    <w:basedOn w:val="NoList"/>
    <w:uiPriority w:val="99"/>
    <w:rsid w:val="000961F8"/>
    <w:pPr>
      <w:numPr>
        <w:numId w:val="6"/>
      </w:numPr>
    </w:pPr>
  </w:style>
  <w:style w:type="paragraph" w:customStyle="1" w:styleId="textbullets">
    <w:name w:val="text bullets"/>
    <w:basedOn w:val="textregular"/>
    <w:uiPriority w:val="5"/>
    <w:qFormat/>
    <w:rsid w:val="000961F8"/>
    <w:pPr>
      <w:numPr>
        <w:numId w:val="6"/>
      </w:numPr>
      <w:contextualSpacing/>
    </w:pPr>
  </w:style>
  <w:style w:type="table" w:customStyle="1" w:styleId="EntsoeeinfacheTabelle">
    <w:name w:val="Entsoe | einfache Tabelle"/>
    <w:basedOn w:val="TableNormal"/>
    <w:uiPriority w:val="99"/>
    <w:qFormat/>
    <w:rsid w:val="00922A3D"/>
    <w:tblPr>
      <w:tblStyleRowBandSize w:val="1"/>
      <w:tblBorders>
        <w:insideV w:val="single" w:sz="12" w:space="0" w:color="FFFFFF" w:themeColor="background1"/>
      </w:tblBorders>
      <w:tblCellMar>
        <w:top w:w="28" w:type="dxa"/>
      </w:tblCellMar>
    </w:tblPr>
    <w:tblStylePr w:type="firstRow">
      <w:pPr>
        <w:wordWrap/>
        <w:spacing w:afterLines="0" w:afterAutospacing="0" w:line="340" w:lineRule="exact"/>
      </w:pPr>
      <w:rPr>
        <w:rFonts w:asciiTheme="majorHAnsi" w:hAnsiTheme="majorHAnsi"/>
        <w:b/>
        <w:color w:val="23236E" w:themeColor="text2"/>
        <w:sz w:val="28"/>
      </w:rPr>
    </w:tblStylePr>
    <w:tblStylePr w:type="band1Horz">
      <w:tblPr/>
      <w:tcPr>
        <w:shd w:val="clear" w:color="auto" w:fill="D9D9D9" w:themeFill="background1" w:themeFillShade="D9"/>
      </w:tcPr>
    </w:tblStylePr>
  </w:style>
  <w:style w:type="paragraph" w:customStyle="1" w:styleId="footnote1">
    <w:name w:val="footnote 1"/>
    <w:basedOn w:val="textregular"/>
    <w:uiPriority w:val="6"/>
    <w:qFormat/>
    <w:rsid w:val="007E6984"/>
    <w:pPr>
      <w:pBdr>
        <w:top w:val="single" w:sz="8" w:space="11" w:color="auto"/>
      </w:pBdr>
      <w:spacing w:after="0"/>
    </w:pPr>
    <w:rPr>
      <w:sz w:val="19"/>
    </w:rPr>
  </w:style>
  <w:style w:type="paragraph" w:customStyle="1" w:styleId="footnote2">
    <w:name w:val="footnote 2"/>
    <w:basedOn w:val="textregular"/>
    <w:uiPriority w:val="6"/>
    <w:qFormat/>
    <w:rsid w:val="007E6984"/>
    <w:pPr>
      <w:spacing w:after="0"/>
    </w:pPr>
    <w:rPr>
      <w:sz w:val="19"/>
    </w:rPr>
  </w:style>
  <w:style w:type="paragraph" w:styleId="TOC3">
    <w:name w:val="toc 3"/>
    <w:basedOn w:val="Normal"/>
    <w:next w:val="Normal"/>
    <w:autoRedefine/>
    <w:uiPriority w:val="39"/>
    <w:unhideWhenUsed/>
    <w:rsid w:val="000F693C"/>
    <w:pPr>
      <w:spacing w:after="100"/>
      <w:ind w:left="440"/>
    </w:pPr>
  </w:style>
  <w:style w:type="paragraph" w:styleId="TOC2">
    <w:name w:val="toc 2"/>
    <w:basedOn w:val="Normal"/>
    <w:next w:val="Normal"/>
    <w:autoRedefine/>
    <w:uiPriority w:val="39"/>
    <w:unhideWhenUsed/>
    <w:rsid w:val="000F693C"/>
    <w:pPr>
      <w:spacing w:after="100"/>
      <w:ind w:left="220"/>
    </w:pPr>
  </w:style>
  <w:style w:type="character" w:styleId="CommentReference">
    <w:name w:val="annotation reference"/>
    <w:basedOn w:val="DefaultParagraphFont"/>
    <w:semiHidden/>
    <w:unhideWhenUsed/>
    <w:rsid w:val="00E377D1"/>
    <w:rPr>
      <w:sz w:val="16"/>
      <w:szCs w:val="16"/>
    </w:rPr>
  </w:style>
  <w:style w:type="paragraph" w:styleId="CommentText">
    <w:name w:val="annotation text"/>
    <w:basedOn w:val="Normal"/>
    <w:link w:val="CommentTextChar"/>
    <w:unhideWhenUsed/>
    <w:rsid w:val="00E377D1"/>
    <w:rPr>
      <w:sz w:val="20"/>
      <w:szCs w:val="20"/>
    </w:rPr>
  </w:style>
  <w:style w:type="character" w:customStyle="1" w:styleId="CommentTextChar">
    <w:name w:val="Comment Text Char"/>
    <w:basedOn w:val="DefaultParagraphFont"/>
    <w:link w:val="CommentText"/>
    <w:rsid w:val="00E377D1"/>
    <w:rPr>
      <w:sz w:val="20"/>
      <w:szCs w:val="20"/>
      <w:lang w:val="en-GB"/>
    </w:rPr>
  </w:style>
  <w:style w:type="paragraph" w:styleId="Title">
    <w:name w:val="Title"/>
    <w:basedOn w:val="Normal"/>
    <w:next w:val="Normal"/>
    <w:link w:val="TitleChar"/>
    <w:uiPriority w:val="10"/>
    <w:qFormat/>
    <w:rsid w:val="00E377D1"/>
    <w:pPr>
      <w:contextualSpacing/>
    </w:pPr>
    <w:rPr>
      <w:rFonts w:asciiTheme="majorHAnsi" w:eastAsiaTheme="majorEastAsia" w:hAnsiTheme="majorHAnsi" w:cstheme="majorBidi"/>
      <w:spacing w:val="-10"/>
      <w:kern w:val="28"/>
      <w:sz w:val="56"/>
      <w:szCs w:val="56"/>
      <w:lang w:val="fi-FI"/>
    </w:rPr>
  </w:style>
  <w:style w:type="character" w:customStyle="1" w:styleId="TitleChar">
    <w:name w:val="Title Char"/>
    <w:basedOn w:val="DefaultParagraphFont"/>
    <w:link w:val="Title"/>
    <w:uiPriority w:val="10"/>
    <w:rsid w:val="00E377D1"/>
    <w:rPr>
      <w:rFonts w:asciiTheme="majorHAnsi" w:eastAsiaTheme="majorEastAsia" w:hAnsiTheme="majorHAnsi" w:cstheme="majorBidi"/>
      <w:spacing w:val="-10"/>
      <w:kern w:val="28"/>
      <w:sz w:val="56"/>
      <w:szCs w:val="56"/>
      <w:lang w:val="fi-FI"/>
    </w:rPr>
  </w:style>
  <w:style w:type="paragraph" w:styleId="FootnoteText">
    <w:name w:val="footnote text"/>
    <w:aliases w:val="footnotes"/>
    <w:basedOn w:val="Normal"/>
    <w:link w:val="FootnoteTextChar"/>
    <w:unhideWhenUsed/>
    <w:rsid w:val="006A737C"/>
    <w:rPr>
      <w:sz w:val="20"/>
      <w:szCs w:val="20"/>
    </w:rPr>
  </w:style>
  <w:style w:type="character" w:customStyle="1" w:styleId="FootnoteTextChar">
    <w:name w:val="Footnote Text Char"/>
    <w:aliases w:val="footnotes Char"/>
    <w:basedOn w:val="DefaultParagraphFont"/>
    <w:link w:val="FootnoteText"/>
    <w:rsid w:val="006A737C"/>
    <w:rPr>
      <w:sz w:val="20"/>
      <w:szCs w:val="20"/>
      <w:lang w:val="en-GB"/>
    </w:rPr>
  </w:style>
  <w:style w:type="character" w:styleId="FootnoteReference">
    <w:name w:val="footnote reference"/>
    <w:basedOn w:val="DefaultParagraphFont"/>
    <w:semiHidden/>
    <w:unhideWhenUsed/>
    <w:rsid w:val="006A737C"/>
    <w:rPr>
      <w:vertAlign w:val="superscript"/>
    </w:rPr>
  </w:style>
  <w:style w:type="paragraph" w:styleId="CommentSubject">
    <w:name w:val="annotation subject"/>
    <w:basedOn w:val="CommentText"/>
    <w:next w:val="CommentText"/>
    <w:link w:val="CommentSubjectChar"/>
    <w:uiPriority w:val="99"/>
    <w:semiHidden/>
    <w:unhideWhenUsed/>
    <w:rsid w:val="006A737C"/>
    <w:pPr>
      <w:spacing w:after="160"/>
    </w:pPr>
    <w:rPr>
      <w:b/>
      <w:bCs/>
      <w:lang w:val="fi-FI"/>
    </w:rPr>
  </w:style>
  <w:style w:type="character" w:customStyle="1" w:styleId="CommentSubjectChar">
    <w:name w:val="Comment Subject Char"/>
    <w:basedOn w:val="CommentTextChar"/>
    <w:link w:val="CommentSubject"/>
    <w:uiPriority w:val="99"/>
    <w:semiHidden/>
    <w:rsid w:val="006A737C"/>
    <w:rPr>
      <w:b/>
      <w:bCs/>
      <w:sz w:val="20"/>
      <w:szCs w:val="20"/>
      <w:lang w:val="fi-FI"/>
    </w:rPr>
  </w:style>
  <w:style w:type="character" w:customStyle="1" w:styleId="KommentintekstiChar">
    <w:name w:val="Kommentin teksti Char"/>
    <w:basedOn w:val="DefaultParagraphFont"/>
    <w:uiPriority w:val="99"/>
    <w:rsid w:val="006A737C"/>
    <w:rPr>
      <w:sz w:val="20"/>
      <w:szCs w:val="20"/>
    </w:rPr>
  </w:style>
  <w:style w:type="paragraph" w:styleId="ListParagraph">
    <w:name w:val="List Paragraph"/>
    <w:aliases w:val="Odstavec1,Puce,H&amp;P List Paragraph,2,Akapit RM z listą"/>
    <w:basedOn w:val="Normal"/>
    <w:link w:val="ListParagraphChar"/>
    <w:uiPriority w:val="34"/>
    <w:qFormat/>
    <w:rsid w:val="004038AE"/>
    <w:pPr>
      <w:spacing w:after="160" w:line="259" w:lineRule="auto"/>
      <w:ind w:left="720"/>
      <w:contextualSpacing/>
      <w:jc w:val="both"/>
    </w:pPr>
    <w:rPr>
      <w:lang w:val="fi-FI"/>
    </w:rPr>
  </w:style>
  <w:style w:type="paragraph" w:customStyle="1" w:styleId="Default">
    <w:name w:val="Default"/>
    <w:rsid w:val="006A737C"/>
    <w:pPr>
      <w:autoSpaceDE w:val="0"/>
      <w:autoSpaceDN w:val="0"/>
      <w:adjustRightInd w:val="0"/>
    </w:pPr>
    <w:rPr>
      <w:rFonts w:ascii="EUAlbertina" w:hAnsi="EUAlbertina" w:cs="EUAlbertina"/>
      <w:color w:val="000000"/>
      <w:sz w:val="24"/>
      <w:szCs w:val="24"/>
      <w:lang w:val="de-AT"/>
    </w:rPr>
  </w:style>
  <w:style w:type="character" w:customStyle="1" w:styleId="AlaviitteentekstiChar">
    <w:name w:val="Alaviitteen teksti Char"/>
    <w:basedOn w:val="DefaultParagraphFont"/>
    <w:uiPriority w:val="99"/>
    <w:semiHidden/>
    <w:rsid w:val="006A737C"/>
    <w:rPr>
      <w:sz w:val="20"/>
      <w:szCs w:val="20"/>
    </w:rPr>
  </w:style>
  <w:style w:type="character" w:customStyle="1" w:styleId="descriptionid1siteid2571">
    <w:name w:val="descriptionid1siteid2571"/>
    <w:basedOn w:val="DefaultParagraphFont"/>
    <w:rsid w:val="006A737C"/>
    <w:rPr>
      <w:rFonts w:ascii="Arial" w:hAnsi="Arial" w:cs="Arial" w:hint="default"/>
      <w:color w:val="666666"/>
      <w:sz w:val="18"/>
      <w:szCs w:val="18"/>
    </w:rPr>
  </w:style>
  <w:style w:type="paragraph" w:customStyle="1" w:styleId="Normln1">
    <w:name w:val="Normální1"/>
    <w:aliases w:val="ČEPS Arial"/>
    <w:basedOn w:val="Normal"/>
    <w:rsid w:val="006A737C"/>
    <w:rPr>
      <w:rFonts w:ascii="Calibri" w:hAnsi="Calibri" w:cs="Times New Roman"/>
      <w:lang w:val="pl-PL"/>
    </w:rPr>
  </w:style>
  <w:style w:type="character" w:styleId="FollowedHyperlink">
    <w:name w:val="FollowedHyperlink"/>
    <w:basedOn w:val="DefaultParagraphFont"/>
    <w:uiPriority w:val="99"/>
    <w:semiHidden/>
    <w:unhideWhenUsed/>
    <w:rsid w:val="006A737C"/>
    <w:rPr>
      <w:color w:val="800080" w:themeColor="followedHyperlink"/>
      <w:u w:val="single"/>
    </w:rPr>
  </w:style>
  <w:style w:type="paragraph" w:styleId="Revision">
    <w:name w:val="Revision"/>
    <w:hidden/>
    <w:uiPriority w:val="99"/>
    <w:semiHidden/>
    <w:rsid w:val="006A737C"/>
    <w:rPr>
      <w:lang w:val="fi-FI"/>
    </w:rPr>
  </w:style>
  <w:style w:type="character" w:customStyle="1" w:styleId="textregularZchn">
    <w:name w:val="text regular Zchn"/>
    <w:basedOn w:val="DefaultParagraphFont"/>
    <w:link w:val="textregular"/>
    <w:locked/>
    <w:rsid w:val="00916ABB"/>
    <w:rPr>
      <w:lang w:val="en-GB"/>
    </w:rPr>
  </w:style>
  <w:style w:type="paragraph" w:styleId="NormalWeb">
    <w:name w:val="Normal (Web)"/>
    <w:basedOn w:val="Normal"/>
    <w:uiPriority w:val="99"/>
    <w:unhideWhenUsed/>
    <w:rsid w:val="007C72F1"/>
    <w:pPr>
      <w:spacing w:before="100" w:beforeAutospacing="1" w:after="100" w:afterAutospacing="1"/>
    </w:pPr>
    <w:rPr>
      <w:rFonts w:ascii="Times New Roman" w:eastAsia="Times New Roman" w:hAnsi="Times New Roman" w:cs="Times New Roman"/>
      <w:sz w:val="24"/>
      <w:szCs w:val="24"/>
      <w:lang w:val="en-US"/>
    </w:rPr>
  </w:style>
  <w:style w:type="character" w:customStyle="1" w:styleId="ListParagraphChar">
    <w:name w:val="List Paragraph Char"/>
    <w:aliases w:val="Odstavec1 Char,Puce Char,H&amp;P List Paragraph Char,2 Char,Akapit RM z listą Char"/>
    <w:basedOn w:val="DefaultParagraphFont"/>
    <w:link w:val="ListParagraph"/>
    <w:uiPriority w:val="34"/>
    <w:qFormat/>
    <w:locked/>
    <w:rsid w:val="007C72F1"/>
    <w:rPr>
      <w:lang w:val="fi-FI"/>
    </w:rPr>
  </w:style>
  <w:style w:type="paragraph" w:customStyle="1" w:styleId="NumPar1">
    <w:name w:val="NumPar 1"/>
    <w:basedOn w:val="Normal"/>
    <w:next w:val="Normal"/>
    <w:rsid w:val="004A1545"/>
    <w:pPr>
      <w:numPr>
        <w:numId w:val="7"/>
      </w:numPr>
      <w:spacing w:before="120" w:after="120"/>
      <w:jc w:val="both"/>
    </w:pPr>
    <w:rPr>
      <w:rFonts w:ascii="Times New Roman" w:hAnsi="Times New Roman" w:cs="Times New Roman"/>
      <w:sz w:val="24"/>
    </w:rPr>
  </w:style>
  <w:style w:type="paragraph" w:customStyle="1" w:styleId="NumPar2">
    <w:name w:val="NumPar 2"/>
    <w:basedOn w:val="Normal"/>
    <w:next w:val="Normal"/>
    <w:rsid w:val="004A1545"/>
    <w:pPr>
      <w:numPr>
        <w:ilvl w:val="1"/>
        <w:numId w:val="7"/>
      </w:numPr>
      <w:spacing w:before="120" w:after="120"/>
      <w:jc w:val="both"/>
    </w:pPr>
    <w:rPr>
      <w:rFonts w:ascii="Times New Roman" w:hAnsi="Times New Roman" w:cs="Times New Roman"/>
      <w:sz w:val="24"/>
    </w:rPr>
  </w:style>
  <w:style w:type="paragraph" w:customStyle="1" w:styleId="NumPar3">
    <w:name w:val="NumPar 3"/>
    <w:basedOn w:val="Normal"/>
    <w:next w:val="Normal"/>
    <w:rsid w:val="004A1545"/>
    <w:pPr>
      <w:numPr>
        <w:ilvl w:val="2"/>
        <w:numId w:val="7"/>
      </w:numPr>
      <w:spacing w:before="120" w:after="120"/>
      <w:jc w:val="both"/>
    </w:pPr>
    <w:rPr>
      <w:rFonts w:ascii="Times New Roman" w:hAnsi="Times New Roman" w:cs="Times New Roman"/>
      <w:sz w:val="24"/>
    </w:rPr>
  </w:style>
  <w:style w:type="paragraph" w:customStyle="1" w:styleId="NumPar4">
    <w:name w:val="NumPar 4"/>
    <w:basedOn w:val="Normal"/>
    <w:next w:val="Normal"/>
    <w:rsid w:val="004A1545"/>
    <w:pPr>
      <w:numPr>
        <w:ilvl w:val="3"/>
        <w:numId w:val="7"/>
      </w:numPr>
      <w:spacing w:before="120" w:after="120"/>
      <w:jc w:val="both"/>
    </w:pPr>
    <w:rPr>
      <w:rFonts w:ascii="Times New Roman" w:hAnsi="Times New Roman" w:cs="Times New Roman"/>
      <w:sz w:val="24"/>
    </w:rPr>
  </w:style>
  <w:style w:type="paragraph" w:styleId="Caption">
    <w:name w:val="caption"/>
    <w:basedOn w:val="Normal"/>
    <w:next w:val="Normal"/>
    <w:uiPriority w:val="35"/>
    <w:unhideWhenUsed/>
    <w:qFormat/>
    <w:rsid w:val="000E773E"/>
    <w:pPr>
      <w:spacing w:after="200"/>
    </w:pPr>
    <w:rPr>
      <w:i/>
      <w:iCs/>
      <w:color w:val="23236E" w:themeColor="text2"/>
      <w:sz w:val="18"/>
      <w:szCs w:val="18"/>
    </w:rPr>
  </w:style>
  <w:style w:type="character" w:styleId="LineNumber">
    <w:name w:val="line number"/>
    <w:basedOn w:val="DefaultParagraphFont"/>
    <w:uiPriority w:val="99"/>
    <w:semiHidden/>
    <w:unhideWhenUsed/>
    <w:rsid w:val="003024C9"/>
  </w:style>
  <w:style w:type="paragraph" w:customStyle="1" w:styleId="Standard1">
    <w:name w:val="Standard1"/>
    <w:basedOn w:val="Normal"/>
    <w:rsid w:val="009C48C1"/>
    <w:pPr>
      <w:spacing w:before="120"/>
      <w:jc w:val="both"/>
    </w:pPr>
    <w:rPr>
      <w:rFonts w:ascii="Times New Roman" w:eastAsia="Times New Roman" w:hAnsi="Times New Roman" w:cs="Times New Roman"/>
      <w:sz w:val="24"/>
      <w:szCs w:val="24"/>
      <w:lang w:val="fr-FR" w:eastAsia="fr-FR"/>
    </w:rPr>
  </w:style>
  <w:style w:type="character" w:customStyle="1" w:styleId="normaltextrun">
    <w:name w:val="normaltextrun"/>
    <w:basedOn w:val="DefaultParagraphFont"/>
    <w:rsid w:val="0045782E"/>
  </w:style>
  <w:style w:type="paragraph" w:customStyle="1" w:styleId="paragraph">
    <w:name w:val="paragraph"/>
    <w:basedOn w:val="Normal"/>
    <w:rsid w:val="00FB2056"/>
    <w:pPr>
      <w:spacing w:before="100" w:beforeAutospacing="1" w:after="100" w:afterAutospacing="1"/>
    </w:pPr>
    <w:rPr>
      <w:rFonts w:ascii="Times New Roman" w:eastAsia="Times New Roman" w:hAnsi="Times New Roman" w:cs="Times New Roman"/>
      <w:sz w:val="24"/>
      <w:szCs w:val="24"/>
      <w:lang w:val="et-EE" w:eastAsia="et-EE"/>
    </w:rPr>
  </w:style>
  <w:style w:type="character" w:customStyle="1" w:styleId="eop">
    <w:name w:val="eop"/>
    <w:basedOn w:val="DefaultParagraphFont"/>
    <w:rsid w:val="00FB2056"/>
  </w:style>
  <w:style w:type="character" w:customStyle="1" w:styleId="scxw234985536">
    <w:name w:val="scxw234985536"/>
    <w:basedOn w:val="DefaultParagraphFont"/>
    <w:rsid w:val="00FB2056"/>
  </w:style>
  <w:style w:type="character" w:styleId="UnresolvedMention">
    <w:name w:val="Unresolved Mention"/>
    <w:basedOn w:val="DefaultParagraphFont"/>
    <w:uiPriority w:val="99"/>
    <w:semiHidden/>
    <w:unhideWhenUsed/>
    <w:rsid w:val="001D3438"/>
    <w:rPr>
      <w:color w:val="605E5C"/>
      <w:shd w:val="clear" w:color="auto" w:fill="E1DFDD"/>
    </w:rPr>
  </w:style>
  <w:style w:type="paragraph" w:styleId="TableofFigures">
    <w:name w:val="table of figures"/>
    <w:basedOn w:val="Normal"/>
    <w:next w:val="Normal"/>
    <w:uiPriority w:val="99"/>
    <w:unhideWhenUsed/>
    <w:rsid w:val="001D3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0299">
      <w:bodyDiv w:val="1"/>
      <w:marLeft w:val="0"/>
      <w:marRight w:val="0"/>
      <w:marTop w:val="0"/>
      <w:marBottom w:val="0"/>
      <w:divBdr>
        <w:top w:val="none" w:sz="0" w:space="0" w:color="auto"/>
        <w:left w:val="none" w:sz="0" w:space="0" w:color="auto"/>
        <w:bottom w:val="none" w:sz="0" w:space="0" w:color="auto"/>
        <w:right w:val="none" w:sz="0" w:space="0" w:color="auto"/>
      </w:divBdr>
    </w:div>
    <w:div w:id="69279379">
      <w:bodyDiv w:val="1"/>
      <w:marLeft w:val="0"/>
      <w:marRight w:val="0"/>
      <w:marTop w:val="0"/>
      <w:marBottom w:val="0"/>
      <w:divBdr>
        <w:top w:val="none" w:sz="0" w:space="0" w:color="auto"/>
        <w:left w:val="none" w:sz="0" w:space="0" w:color="auto"/>
        <w:bottom w:val="none" w:sz="0" w:space="0" w:color="auto"/>
        <w:right w:val="none" w:sz="0" w:space="0" w:color="auto"/>
      </w:divBdr>
    </w:div>
    <w:div w:id="169298124">
      <w:bodyDiv w:val="1"/>
      <w:marLeft w:val="0"/>
      <w:marRight w:val="0"/>
      <w:marTop w:val="0"/>
      <w:marBottom w:val="0"/>
      <w:divBdr>
        <w:top w:val="none" w:sz="0" w:space="0" w:color="auto"/>
        <w:left w:val="none" w:sz="0" w:space="0" w:color="auto"/>
        <w:bottom w:val="none" w:sz="0" w:space="0" w:color="auto"/>
        <w:right w:val="none" w:sz="0" w:space="0" w:color="auto"/>
      </w:divBdr>
    </w:div>
    <w:div w:id="188225808">
      <w:bodyDiv w:val="1"/>
      <w:marLeft w:val="0"/>
      <w:marRight w:val="0"/>
      <w:marTop w:val="0"/>
      <w:marBottom w:val="0"/>
      <w:divBdr>
        <w:top w:val="none" w:sz="0" w:space="0" w:color="auto"/>
        <w:left w:val="none" w:sz="0" w:space="0" w:color="auto"/>
        <w:bottom w:val="none" w:sz="0" w:space="0" w:color="auto"/>
        <w:right w:val="none" w:sz="0" w:space="0" w:color="auto"/>
      </w:divBdr>
    </w:div>
    <w:div w:id="248855191">
      <w:bodyDiv w:val="1"/>
      <w:marLeft w:val="0"/>
      <w:marRight w:val="0"/>
      <w:marTop w:val="0"/>
      <w:marBottom w:val="0"/>
      <w:divBdr>
        <w:top w:val="none" w:sz="0" w:space="0" w:color="auto"/>
        <w:left w:val="none" w:sz="0" w:space="0" w:color="auto"/>
        <w:bottom w:val="none" w:sz="0" w:space="0" w:color="auto"/>
        <w:right w:val="none" w:sz="0" w:space="0" w:color="auto"/>
      </w:divBdr>
    </w:div>
    <w:div w:id="302084168">
      <w:bodyDiv w:val="1"/>
      <w:marLeft w:val="0"/>
      <w:marRight w:val="0"/>
      <w:marTop w:val="0"/>
      <w:marBottom w:val="0"/>
      <w:divBdr>
        <w:top w:val="none" w:sz="0" w:space="0" w:color="auto"/>
        <w:left w:val="none" w:sz="0" w:space="0" w:color="auto"/>
        <w:bottom w:val="none" w:sz="0" w:space="0" w:color="auto"/>
        <w:right w:val="none" w:sz="0" w:space="0" w:color="auto"/>
      </w:divBdr>
    </w:div>
    <w:div w:id="401604933">
      <w:bodyDiv w:val="1"/>
      <w:marLeft w:val="0"/>
      <w:marRight w:val="0"/>
      <w:marTop w:val="0"/>
      <w:marBottom w:val="0"/>
      <w:divBdr>
        <w:top w:val="none" w:sz="0" w:space="0" w:color="auto"/>
        <w:left w:val="none" w:sz="0" w:space="0" w:color="auto"/>
        <w:bottom w:val="none" w:sz="0" w:space="0" w:color="auto"/>
        <w:right w:val="none" w:sz="0" w:space="0" w:color="auto"/>
      </w:divBdr>
    </w:div>
    <w:div w:id="642392771">
      <w:bodyDiv w:val="1"/>
      <w:marLeft w:val="0"/>
      <w:marRight w:val="0"/>
      <w:marTop w:val="0"/>
      <w:marBottom w:val="0"/>
      <w:divBdr>
        <w:top w:val="none" w:sz="0" w:space="0" w:color="auto"/>
        <w:left w:val="none" w:sz="0" w:space="0" w:color="auto"/>
        <w:bottom w:val="none" w:sz="0" w:space="0" w:color="auto"/>
        <w:right w:val="none" w:sz="0" w:space="0" w:color="auto"/>
      </w:divBdr>
    </w:div>
    <w:div w:id="711198202">
      <w:bodyDiv w:val="1"/>
      <w:marLeft w:val="0"/>
      <w:marRight w:val="0"/>
      <w:marTop w:val="0"/>
      <w:marBottom w:val="0"/>
      <w:divBdr>
        <w:top w:val="none" w:sz="0" w:space="0" w:color="auto"/>
        <w:left w:val="none" w:sz="0" w:space="0" w:color="auto"/>
        <w:bottom w:val="none" w:sz="0" w:space="0" w:color="auto"/>
        <w:right w:val="none" w:sz="0" w:space="0" w:color="auto"/>
      </w:divBdr>
      <w:divsChild>
        <w:div w:id="1509177806">
          <w:marLeft w:val="0"/>
          <w:marRight w:val="0"/>
          <w:marTop w:val="0"/>
          <w:marBottom w:val="0"/>
          <w:divBdr>
            <w:top w:val="none" w:sz="0" w:space="0" w:color="auto"/>
            <w:left w:val="none" w:sz="0" w:space="0" w:color="auto"/>
            <w:bottom w:val="none" w:sz="0" w:space="0" w:color="auto"/>
            <w:right w:val="none" w:sz="0" w:space="0" w:color="auto"/>
          </w:divBdr>
        </w:div>
        <w:div w:id="1994603640">
          <w:marLeft w:val="0"/>
          <w:marRight w:val="0"/>
          <w:marTop w:val="0"/>
          <w:marBottom w:val="0"/>
          <w:divBdr>
            <w:top w:val="none" w:sz="0" w:space="0" w:color="auto"/>
            <w:left w:val="none" w:sz="0" w:space="0" w:color="auto"/>
            <w:bottom w:val="none" w:sz="0" w:space="0" w:color="auto"/>
            <w:right w:val="none" w:sz="0" w:space="0" w:color="auto"/>
          </w:divBdr>
        </w:div>
      </w:divsChild>
    </w:div>
    <w:div w:id="733701442">
      <w:bodyDiv w:val="1"/>
      <w:marLeft w:val="0"/>
      <w:marRight w:val="0"/>
      <w:marTop w:val="0"/>
      <w:marBottom w:val="0"/>
      <w:divBdr>
        <w:top w:val="none" w:sz="0" w:space="0" w:color="auto"/>
        <w:left w:val="none" w:sz="0" w:space="0" w:color="auto"/>
        <w:bottom w:val="none" w:sz="0" w:space="0" w:color="auto"/>
        <w:right w:val="none" w:sz="0" w:space="0" w:color="auto"/>
      </w:divBdr>
    </w:div>
    <w:div w:id="735592175">
      <w:bodyDiv w:val="1"/>
      <w:marLeft w:val="0"/>
      <w:marRight w:val="0"/>
      <w:marTop w:val="0"/>
      <w:marBottom w:val="0"/>
      <w:divBdr>
        <w:top w:val="none" w:sz="0" w:space="0" w:color="auto"/>
        <w:left w:val="none" w:sz="0" w:space="0" w:color="auto"/>
        <w:bottom w:val="none" w:sz="0" w:space="0" w:color="auto"/>
        <w:right w:val="none" w:sz="0" w:space="0" w:color="auto"/>
      </w:divBdr>
    </w:div>
    <w:div w:id="761298046">
      <w:bodyDiv w:val="1"/>
      <w:marLeft w:val="0"/>
      <w:marRight w:val="0"/>
      <w:marTop w:val="0"/>
      <w:marBottom w:val="0"/>
      <w:divBdr>
        <w:top w:val="none" w:sz="0" w:space="0" w:color="auto"/>
        <w:left w:val="none" w:sz="0" w:space="0" w:color="auto"/>
        <w:bottom w:val="none" w:sz="0" w:space="0" w:color="auto"/>
        <w:right w:val="none" w:sz="0" w:space="0" w:color="auto"/>
      </w:divBdr>
    </w:div>
    <w:div w:id="802579339">
      <w:bodyDiv w:val="1"/>
      <w:marLeft w:val="0"/>
      <w:marRight w:val="0"/>
      <w:marTop w:val="0"/>
      <w:marBottom w:val="0"/>
      <w:divBdr>
        <w:top w:val="none" w:sz="0" w:space="0" w:color="auto"/>
        <w:left w:val="none" w:sz="0" w:space="0" w:color="auto"/>
        <w:bottom w:val="none" w:sz="0" w:space="0" w:color="auto"/>
        <w:right w:val="none" w:sz="0" w:space="0" w:color="auto"/>
      </w:divBdr>
      <w:divsChild>
        <w:div w:id="161624788">
          <w:marLeft w:val="547"/>
          <w:marRight w:val="0"/>
          <w:marTop w:val="0"/>
          <w:marBottom w:val="0"/>
          <w:divBdr>
            <w:top w:val="none" w:sz="0" w:space="0" w:color="auto"/>
            <w:left w:val="none" w:sz="0" w:space="0" w:color="auto"/>
            <w:bottom w:val="none" w:sz="0" w:space="0" w:color="auto"/>
            <w:right w:val="none" w:sz="0" w:space="0" w:color="auto"/>
          </w:divBdr>
        </w:div>
        <w:div w:id="240527733">
          <w:marLeft w:val="547"/>
          <w:marRight w:val="0"/>
          <w:marTop w:val="0"/>
          <w:marBottom w:val="0"/>
          <w:divBdr>
            <w:top w:val="none" w:sz="0" w:space="0" w:color="auto"/>
            <w:left w:val="none" w:sz="0" w:space="0" w:color="auto"/>
            <w:bottom w:val="none" w:sz="0" w:space="0" w:color="auto"/>
            <w:right w:val="none" w:sz="0" w:space="0" w:color="auto"/>
          </w:divBdr>
        </w:div>
        <w:div w:id="333382749">
          <w:marLeft w:val="547"/>
          <w:marRight w:val="0"/>
          <w:marTop w:val="0"/>
          <w:marBottom w:val="0"/>
          <w:divBdr>
            <w:top w:val="none" w:sz="0" w:space="0" w:color="auto"/>
            <w:left w:val="none" w:sz="0" w:space="0" w:color="auto"/>
            <w:bottom w:val="none" w:sz="0" w:space="0" w:color="auto"/>
            <w:right w:val="none" w:sz="0" w:space="0" w:color="auto"/>
          </w:divBdr>
        </w:div>
        <w:div w:id="2092314378">
          <w:marLeft w:val="547"/>
          <w:marRight w:val="0"/>
          <w:marTop w:val="0"/>
          <w:marBottom w:val="0"/>
          <w:divBdr>
            <w:top w:val="none" w:sz="0" w:space="0" w:color="auto"/>
            <w:left w:val="none" w:sz="0" w:space="0" w:color="auto"/>
            <w:bottom w:val="none" w:sz="0" w:space="0" w:color="auto"/>
            <w:right w:val="none" w:sz="0" w:space="0" w:color="auto"/>
          </w:divBdr>
        </w:div>
      </w:divsChild>
    </w:div>
    <w:div w:id="915163957">
      <w:bodyDiv w:val="1"/>
      <w:marLeft w:val="0"/>
      <w:marRight w:val="0"/>
      <w:marTop w:val="0"/>
      <w:marBottom w:val="0"/>
      <w:divBdr>
        <w:top w:val="none" w:sz="0" w:space="0" w:color="auto"/>
        <w:left w:val="none" w:sz="0" w:space="0" w:color="auto"/>
        <w:bottom w:val="none" w:sz="0" w:space="0" w:color="auto"/>
        <w:right w:val="none" w:sz="0" w:space="0" w:color="auto"/>
      </w:divBdr>
      <w:divsChild>
        <w:div w:id="1190072783">
          <w:marLeft w:val="547"/>
          <w:marRight w:val="0"/>
          <w:marTop w:val="0"/>
          <w:marBottom w:val="0"/>
          <w:divBdr>
            <w:top w:val="none" w:sz="0" w:space="0" w:color="auto"/>
            <w:left w:val="none" w:sz="0" w:space="0" w:color="auto"/>
            <w:bottom w:val="none" w:sz="0" w:space="0" w:color="auto"/>
            <w:right w:val="none" w:sz="0" w:space="0" w:color="auto"/>
          </w:divBdr>
        </w:div>
      </w:divsChild>
    </w:div>
    <w:div w:id="1133911758">
      <w:bodyDiv w:val="1"/>
      <w:marLeft w:val="0"/>
      <w:marRight w:val="0"/>
      <w:marTop w:val="0"/>
      <w:marBottom w:val="0"/>
      <w:divBdr>
        <w:top w:val="none" w:sz="0" w:space="0" w:color="auto"/>
        <w:left w:val="none" w:sz="0" w:space="0" w:color="auto"/>
        <w:bottom w:val="none" w:sz="0" w:space="0" w:color="auto"/>
        <w:right w:val="none" w:sz="0" w:space="0" w:color="auto"/>
      </w:divBdr>
    </w:div>
    <w:div w:id="1147746315">
      <w:bodyDiv w:val="1"/>
      <w:marLeft w:val="0"/>
      <w:marRight w:val="0"/>
      <w:marTop w:val="0"/>
      <w:marBottom w:val="0"/>
      <w:divBdr>
        <w:top w:val="none" w:sz="0" w:space="0" w:color="auto"/>
        <w:left w:val="none" w:sz="0" w:space="0" w:color="auto"/>
        <w:bottom w:val="none" w:sz="0" w:space="0" w:color="auto"/>
        <w:right w:val="none" w:sz="0" w:space="0" w:color="auto"/>
      </w:divBdr>
    </w:div>
    <w:div w:id="1170565438">
      <w:bodyDiv w:val="1"/>
      <w:marLeft w:val="0"/>
      <w:marRight w:val="0"/>
      <w:marTop w:val="0"/>
      <w:marBottom w:val="0"/>
      <w:divBdr>
        <w:top w:val="none" w:sz="0" w:space="0" w:color="auto"/>
        <w:left w:val="none" w:sz="0" w:space="0" w:color="auto"/>
        <w:bottom w:val="none" w:sz="0" w:space="0" w:color="auto"/>
        <w:right w:val="none" w:sz="0" w:space="0" w:color="auto"/>
      </w:divBdr>
    </w:div>
    <w:div w:id="1175799637">
      <w:bodyDiv w:val="1"/>
      <w:marLeft w:val="0"/>
      <w:marRight w:val="0"/>
      <w:marTop w:val="0"/>
      <w:marBottom w:val="0"/>
      <w:divBdr>
        <w:top w:val="none" w:sz="0" w:space="0" w:color="auto"/>
        <w:left w:val="none" w:sz="0" w:space="0" w:color="auto"/>
        <w:bottom w:val="none" w:sz="0" w:space="0" w:color="auto"/>
        <w:right w:val="none" w:sz="0" w:space="0" w:color="auto"/>
      </w:divBdr>
      <w:divsChild>
        <w:div w:id="498814927">
          <w:marLeft w:val="0"/>
          <w:marRight w:val="0"/>
          <w:marTop w:val="0"/>
          <w:marBottom w:val="0"/>
          <w:divBdr>
            <w:top w:val="none" w:sz="0" w:space="0" w:color="auto"/>
            <w:left w:val="none" w:sz="0" w:space="0" w:color="auto"/>
            <w:bottom w:val="none" w:sz="0" w:space="0" w:color="auto"/>
            <w:right w:val="none" w:sz="0" w:space="0" w:color="auto"/>
          </w:divBdr>
          <w:divsChild>
            <w:div w:id="1021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20073">
      <w:bodyDiv w:val="1"/>
      <w:marLeft w:val="0"/>
      <w:marRight w:val="0"/>
      <w:marTop w:val="0"/>
      <w:marBottom w:val="0"/>
      <w:divBdr>
        <w:top w:val="none" w:sz="0" w:space="0" w:color="auto"/>
        <w:left w:val="none" w:sz="0" w:space="0" w:color="auto"/>
        <w:bottom w:val="none" w:sz="0" w:space="0" w:color="auto"/>
        <w:right w:val="none" w:sz="0" w:space="0" w:color="auto"/>
      </w:divBdr>
    </w:div>
    <w:div w:id="1228423222">
      <w:bodyDiv w:val="1"/>
      <w:marLeft w:val="390"/>
      <w:marRight w:val="390"/>
      <w:marTop w:val="0"/>
      <w:marBottom w:val="0"/>
      <w:divBdr>
        <w:top w:val="none" w:sz="0" w:space="0" w:color="auto"/>
        <w:left w:val="none" w:sz="0" w:space="0" w:color="auto"/>
        <w:bottom w:val="none" w:sz="0" w:space="0" w:color="auto"/>
        <w:right w:val="none" w:sz="0" w:space="0" w:color="auto"/>
      </w:divBdr>
      <w:divsChild>
        <w:div w:id="2116317020">
          <w:marLeft w:val="0"/>
          <w:marRight w:val="0"/>
          <w:marTop w:val="0"/>
          <w:marBottom w:val="0"/>
          <w:divBdr>
            <w:top w:val="none" w:sz="0" w:space="0" w:color="auto"/>
            <w:left w:val="none" w:sz="0" w:space="0" w:color="auto"/>
            <w:bottom w:val="none" w:sz="0" w:space="0" w:color="auto"/>
            <w:right w:val="none" w:sz="0" w:space="0" w:color="auto"/>
          </w:divBdr>
          <w:divsChild>
            <w:div w:id="1997419854">
              <w:marLeft w:val="0"/>
              <w:marRight w:val="0"/>
              <w:marTop w:val="0"/>
              <w:marBottom w:val="0"/>
              <w:divBdr>
                <w:top w:val="none" w:sz="0" w:space="0" w:color="auto"/>
                <w:left w:val="none" w:sz="0" w:space="0" w:color="auto"/>
                <w:bottom w:val="none" w:sz="0" w:space="0" w:color="auto"/>
                <w:right w:val="none" w:sz="0" w:space="0" w:color="auto"/>
              </w:divBdr>
              <w:divsChild>
                <w:div w:id="1240292955">
                  <w:marLeft w:val="-150"/>
                  <w:marRight w:val="-150"/>
                  <w:marTop w:val="0"/>
                  <w:marBottom w:val="0"/>
                  <w:divBdr>
                    <w:top w:val="none" w:sz="0" w:space="0" w:color="auto"/>
                    <w:left w:val="none" w:sz="0" w:space="0" w:color="auto"/>
                    <w:bottom w:val="none" w:sz="0" w:space="0" w:color="auto"/>
                    <w:right w:val="none" w:sz="0" w:space="0" w:color="auto"/>
                  </w:divBdr>
                  <w:divsChild>
                    <w:div w:id="190251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53948">
      <w:bodyDiv w:val="1"/>
      <w:marLeft w:val="0"/>
      <w:marRight w:val="0"/>
      <w:marTop w:val="0"/>
      <w:marBottom w:val="0"/>
      <w:divBdr>
        <w:top w:val="none" w:sz="0" w:space="0" w:color="auto"/>
        <w:left w:val="none" w:sz="0" w:space="0" w:color="auto"/>
        <w:bottom w:val="none" w:sz="0" w:space="0" w:color="auto"/>
        <w:right w:val="none" w:sz="0" w:space="0" w:color="auto"/>
      </w:divBdr>
      <w:divsChild>
        <w:div w:id="726342930">
          <w:marLeft w:val="0"/>
          <w:marRight w:val="0"/>
          <w:marTop w:val="0"/>
          <w:marBottom w:val="0"/>
          <w:divBdr>
            <w:top w:val="none" w:sz="0" w:space="0" w:color="auto"/>
            <w:left w:val="none" w:sz="0" w:space="0" w:color="auto"/>
            <w:bottom w:val="none" w:sz="0" w:space="0" w:color="auto"/>
            <w:right w:val="none" w:sz="0" w:space="0" w:color="auto"/>
          </w:divBdr>
        </w:div>
        <w:div w:id="1288853432">
          <w:marLeft w:val="0"/>
          <w:marRight w:val="0"/>
          <w:marTop w:val="0"/>
          <w:marBottom w:val="0"/>
          <w:divBdr>
            <w:top w:val="none" w:sz="0" w:space="0" w:color="auto"/>
            <w:left w:val="none" w:sz="0" w:space="0" w:color="auto"/>
            <w:bottom w:val="none" w:sz="0" w:space="0" w:color="auto"/>
            <w:right w:val="none" w:sz="0" w:space="0" w:color="auto"/>
          </w:divBdr>
        </w:div>
      </w:divsChild>
    </w:div>
    <w:div w:id="1313755204">
      <w:bodyDiv w:val="1"/>
      <w:marLeft w:val="0"/>
      <w:marRight w:val="0"/>
      <w:marTop w:val="0"/>
      <w:marBottom w:val="0"/>
      <w:divBdr>
        <w:top w:val="none" w:sz="0" w:space="0" w:color="auto"/>
        <w:left w:val="none" w:sz="0" w:space="0" w:color="auto"/>
        <w:bottom w:val="none" w:sz="0" w:space="0" w:color="auto"/>
        <w:right w:val="none" w:sz="0" w:space="0" w:color="auto"/>
      </w:divBdr>
    </w:div>
    <w:div w:id="1435708805">
      <w:bodyDiv w:val="1"/>
      <w:marLeft w:val="0"/>
      <w:marRight w:val="0"/>
      <w:marTop w:val="0"/>
      <w:marBottom w:val="0"/>
      <w:divBdr>
        <w:top w:val="none" w:sz="0" w:space="0" w:color="auto"/>
        <w:left w:val="none" w:sz="0" w:space="0" w:color="auto"/>
        <w:bottom w:val="none" w:sz="0" w:space="0" w:color="auto"/>
        <w:right w:val="none" w:sz="0" w:space="0" w:color="auto"/>
      </w:divBdr>
    </w:div>
    <w:div w:id="1436826865">
      <w:bodyDiv w:val="1"/>
      <w:marLeft w:val="0"/>
      <w:marRight w:val="0"/>
      <w:marTop w:val="0"/>
      <w:marBottom w:val="0"/>
      <w:divBdr>
        <w:top w:val="none" w:sz="0" w:space="0" w:color="auto"/>
        <w:left w:val="none" w:sz="0" w:space="0" w:color="auto"/>
        <w:bottom w:val="none" w:sz="0" w:space="0" w:color="auto"/>
        <w:right w:val="none" w:sz="0" w:space="0" w:color="auto"/>
      </w:divBdr>
      <w:divsChild>
        <w:div w:id="415713494">
          <w:marLeft w:val="0"/>
          <w:marRight w:val="0"/>
          <w:marTop w:val="0"/>
          <w:marBottom w:val="0"/>
          <w:divBdr>
            <w:top w:val="none" w:sz="0" w:space="0" w:color="auto"/>
            <w:left w:val="none" w:sz="0" w:space="0" w:color="auto"/>
            <w:bottom w:val="none" w:sz="0" w:space="0" w:color="auto"/>
            <w:right w:val="none" w:sz="0" w:space="0" w:color="auto"/>
          </w:divBdr>
          <w:divsChild>
            <w:div w:id="1731146032">
              <w:marLeft w:val="0"/>
              <w:marRight w:val="0"/>
              <w:marTop w:val="0"/>
              <w:marBottom w:val="0"/>
              <w:divBdr>
                <w:top w:val="none" w:sz="0" w:space="0" w:color="auto"/>
                <w:left w:val="none" w:sz="0" w:space="0" w:color="auto"/>
                <w:bottom w:val="none" w:sz="0" w:space="0" w:color="auto"/>
                <w:right w:val="none" w:sz="0" w:space="0" w:color="auto"/>
              </w:divBdr>
              <w:divsChild>
                <w:div w:id="488327845">
                  <w:marLeft w:val="0"/>
                  <w:marRight w:val="0"/>
                  <w:marTop w:val="0"/>
                  <w:marBottom w:val="0"/>
                  <w:divBdr>
                    <w:top w:val="none" w:sz="0" w:space="0" w:color="auto"/>
                    <w:left w:val="none" w:sz="0" w:space="0" w:color="auto"/>
                    <w:bottom w:val="none" w:sz="0" w:space="0" w:color="auto"/>
                    <w:right w:val="none" w:sz="0" w:space="0" w:color="auto"/>
                  </w:divBdr>
                </w:div>
                <w:div w:id="762067869">
                  <w:marLeft w:val="0"/>
                  <w:marRight w:val="0"/>
                  <w:marTop w:val="0"/>
                  <w:marBottom w:val="0"/>
                  <w:divBdr>
                    <w:top w:val="none" w:sz="0" w:space="0" w:color="auto"/>
                    <w:left w:val="none" w:sz="0" w:space="0" w:color="auto"/>
                    <w:bottom w:val="none" w:sz="0" w:space="0" w:color="auto"/>
                    <w:right w:val="none" w:sz="0" w:space="0" w:color="auto"/>
                  </w:divBdr>
                </w:div>
                <w:div w:id="766736498">
                  <w:marLeft w:val="0"/>
                  <w:marRight w:val="0"/>
                  <w:marTop w:val="0"/>
                  <w:marBottom w:val="0"/>
                  <w:divBdr>
                    <w:top w:val="none" w:sz="0" w:space="0" w:color="auto"/>
                    <w:left w:val="none" w:sz="0" w:space="0" w:color="auto"/>
                    <w:bottom w:val="none" w:sz="0" w:space="0" w:color="auto"/>
                    <w:right w:val="none" w:sz="0" w:space="0" w:color="auto"/>
                  </w:divBdr>
                </w:div>
                <w:div w:id="774712212">
                  <w:marLeft w:val="0"/>
                  <w:marRight w:val="0"/>
                  <w:marTop w:val="0"/>
                  <w:marBottom w:val="0"/>
                  <w:divBdr>
                    <w:top w:val="none" w:sz="0" w:space="0" w:color="auto"/>
                    <w:left w:val="none" w:sz="0" w:space="0" w:color="auto"/>
                    <w:bottom w:val="none" w:sz="0" w:space="0" w:color="auto"/>
                    <w:right w:val="none" w:sz="0" w:space="0" w:color="auto"/>
                  </w:divBdr>
                </w:div>
                <w:div w:id="1552185767">
                  <w:marLeft w:val="0"/>
                  <w:marRight w:val="0"/>
                  <w:marTop w:val="0"/>
                  <w:marBottom w:val="0"/>
                  <w:divBdr>
                    <w:top w:val="none" w:sz="0" w:space="0" w:color="auto"/>
                    <w:left w:val="none" w:sz="0" w:space="0" w:color="auto"/>
                    <w:bottom w:val="none" w:sz="0" w:space="0" w:color="auto"/>
                    <w:right w:val="none" w:sz="0" w:space="0" w:color="auto"/>
                  </w:divBdr>
                </w:div>
                <w:div w:id="1609312512">
                  <w:marLeft w:val="0"/>
                  <w:marRight w:val="0"/>
                  <w:marTop w:val="0"/>
                  <w:marBottom w:val="0"/>
                  <w:divBdr>
                    <w:top w:val="none" w:sz="0" w:space="0" w:color="auto"/>
                    <w:left w:val="none" w:sz="0" w:space="0" w:color="auto"/>
                    <w:bottom w:val="none" w:sz="0" w:space="0" w:color="auto"/>
                    <w:right w:val="none" w:sz="0" w:space="0" w:color="auto"/>
                  </w:divBdr>
                </w:div>
                <w:div w:id="1687975954">
                  <w:marLeft w:val="0"/>
                  <w:marRight w:val="0"/>
                  <w:marTop w:val="0"/>
                  <w:marBottom w:val="0"/>
                  <w:divBdr>
                    <w:top w:val="none" w:sz="0" w:space="0" w:color="auto"/>
                    <w:left w:val="none" w:sz="0" w:space="0" w:color="auto"/>
                    <w:bottom w:val="none" w:sz="0" w:space="0" w:color="auto"/>
                    <w:right w:val="none" w:sz="0" w:space="0" w:color="auto"/>
                  </w:divBdr>
                </w:div>
                <w:div w:id="20838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06839">
      <w:bodyDiv w:val="1"/>
      <w:marLeft w:val="0"/>
      <w:marRight w:val="0"/>
      <w:marTop w:val="0"/>
      <w:marBottom w:val="0"/>
      <w:divBdr>
        <w:top w:val="none" w:sz="0" w:space="0" w:color="auto"/>
        <w:left w:val="none" w:sz="0" w:space="0" w:color="auto"/>
        <w:bottom w:val="none" w:sz="0" w:space="0" w:color="auto"/>
        <w:right w:val="none" w:sz="0" w:space="0" w:color="auto"/>
      </w:divBdr>
      <w:divsChild>
        <w:div w:id="478041346">
          <w:marLeft w:val="0"/>
          <w:marRight w:val="0"/>
          <w:marTop w:val="0"/>
          <w:marBottom w:val="0"/>
          <w:divBdr>
            <w:top w:val="none" w:sz="0" w:space="0" w:color="auto"/>
            <w:left w:val="none" w:sz="0" w:space="0" w:color="auto"/>
            <w:bottom w:val="none" w:sz="0" w:space="0" w:color="auto"/>
            <w:right w:val="none" w:sz="0" w:space="0" w:color="auto"/>
          </w:divBdr>
        </w:div>
        <w:div w:id="1623996174">
          <w:marLeft w:val="0"/>
          <w:marRight w:val="0"/>
          <w:marTop w:val="0"/>
          <w:marBottom w:val="0"/>
          <w:divBdr>
            <w:top w:val="none" w:sz="0" w:space="0" w:color="auto"/>
            <w:left w:val="none" w:sz="0" w:space="0" w:color="auto"/>
            <w:bottom w:val="none" w:sz="0" w:space="0" w:color="auto"/>
            <w:right w:val="none" w:sz="0" w:space="0" w:color="auto"/>
          </w:divBdr>
        </w:div>
      </w:divsChild>
    </w:div>
    <w:div w:id="1518807986">
      <w:bodyDiv w:val="1"/>
      <w:marLeft w:val="0"/>
      <w:marRight w:val="0"/>
      <w:marTop w:val="0"/>
      <w:marBottom w:val="0"/>
      <w:divBdr>
        <w:top w:val="none" w:sz="0" w:space="0" w:color="auto"/>
        <w:left w:val="none" w:sz="0" w:space="0" w:color="auto"/>
        <w:bottom w:val="none" w:sz="0" w:space="0" w:color="auto"/>
        <w:right w:val="none" w:sz="0" w:space="0" w:color="auto"/>
      </w:divBdr>
    </w:div>
    <w:div w:id="1520923059">
      <w:bodyDiv w:val="1"/>
      <w:marLeft w:val="0"/>
      <w:marRight w:val="0"/>
      <w:marTop w:val="0"/>
      <w:marBottom w:val="0"/>
      <w:divBdr>
        <w:top w:val="none" w:sz="0" w:space="0" w:color="auto"/>
        <w:left w:val="none" w:sz="0" w:space="0" w:color="auto"/>
        <w:bottom w:val="none" w:sz="0" w:space="0" w:color="auto"/>
        <w:right w:val="none" w:sz="0" w:space="0" w:color="auto"/>
      </w:divBdr>
    </w:div>
    <w:div w:id="1627152331">
      <w:bodyDiv w:val="1"/>
      <w:marLeft w:val="0"/>
      <w:marRight w:val="0"/>
      <w:marTop w:val="0"/>
      <w:marBottom w:val="0"/>
      <w:divBdr>
        <w:top w:val="none" w:sz="0" w:space="0" w:color="auto"/>
        <w:left w:val="none" w:sz="0" w:space="0" w:color="auto"/>
        <w:bottom w:val="none" w:sz="0" w:space="0" w:color="auto"/>
        <w:right w:val="none" w:sz="0" w:space="0" w:color="auto"/>
      </w:divBdr>
    </w:div>
    <w:div w:id="1699424488">
      <w:bodyDiv w:val="1"/>
      <w:marLeft w:val="0"/>
      <w:marRight w:val="0"/>
      <w:marTop w:val="0"/>
      <w:marBottom w:val="0"/>
      <w:divBdr>
        <w:top w:val="none" w:sz="0" w:space="0" w:color="auto"/>
        <w:left w:val="none" w:sz="0" w:space="0" w:color="auto"/>
        <w:bottom w:val="none" w:sz="0" w:space="0" w:color="auto"/>
        <w:right w:val="none" w:sz="0" w:space="0" w:color="auto"/>
      </w:divBdr>
    </w:div>
    <w:div w:id="1727491023">
      <w:bodyDiv w:val="1"/>
      <w:marLeft w:val="0"/>
      <w:marRight w:val="0"/>
      <w:marTop w:val="0"/>
      <w:marBottom w:val="0"/>
      <w:divBdr>
        <w:top w:val="none" w:sz="0" w:space="0" w:color="auto"/>
        <w:left w:val="none" w:sz="0" w:space="0" w:color="auto"/>
        <w:bottom w:val="none" w:sz="0" w:space="0" w:color="auto"/>
        <w:right w:val="none" w:sz="0" w:space="0" w:color="auto"/>
      </w:divBdr>
    </w:div>
    <w:div w:id="1744371995">
      <w:bodyDiv w:val="1"/>
      <w:marLeft w:val="0"/>
      <w:marRight w:val="0"/>
      <w:marTop w:val="0"/>
      <w:marBottom w:val="0"/>
      <w:divBdr>
        <w:top w:val="none" w:sz="0" w:space="0" w:color="auto"/>
        <w:left w:val="none" w:sz="0" w:space="0" w:color="auto"/>
        <w:bottom w:val="none" w:sz="0" w:space="0" w:color="auto"/>
        <w:right w:val="none" w:sz="0" w:space="0" w:color="auto"/>
      </w:divBdr>
    </w:div>
    <w:div w:id="1745567611">
      <w:bodyDiv w:val="1"/>
      <w:marLeft w:val="0"/>
      <w:marRight w:val="0"/>
      <w:marTop w:val="0"/>
      <w:marBottom w:val="0"/>
      <w:divBdr>
        <w:top w:val="none" w:sz="0" w:space="0" w:color="auto"/>
        <w:left w:val="none" w:sz="0" w:space="0" w:color="auto"/>
        <w:bottom w:val="none" w:sz="0" w:space="0" w:color="auto"/>
        <w:right w:val="none" w:sz="0" w:space="0" w:color="auto"/>
      </w:divBdr>
    </w:div>
    <w:div w:id="1834103988">
      <w:bodyDiv w:val="1"/>
      <w:marLeft w:val="0"/>
      <w:marRight w:val="0"/>
      <w:marTop w:val="0"/>
      <w:marBottom w:val="0"/>
      <w:divBdr>
        <w:top w:val="none" w:sz="0" w:space="0" w:color="auto"/>
        <w:left w:val="none" w:sz="0" w:space="0" w:color="auto"/>
        <w:bottom w:val="none" w:sz="0" w:space="0" w:color="auto"/>
        <w:right w:val="none" w:sz="0" w:space="0" w:color="auto"/>
      </w:divBdr>
    </w:div>
    <w:div w:id="1868061837">
      <w:bodyDiv w:val="1"/>
      <w:marLeft w:val="0"/>
      <w:marRight w:val="0"/>
      <w:marTop w:val="0"/>
      <w:marBottom w:val="0"/>
      <w:divBdr>
        <w:top w:val="none" w:sz="0" w:space="0" w:color="auto"/>
        <w:left w:val="none" w:sz="0" w:space="0" w:color="auto"/>
        <w:bottom w:val="none" w:sz="0" w:space="0" w:color="auto"/>
        <w:right w:val="none" w:sz="0" w:space="0" w:color="auto"/>
      </w:divBdr>
    </w:div>
    <w:div w:id="1978875076">
      <w:bodyDiv w:val="1"/>
      <w:marLeft w:val="0"/>
      <w:marRight w:val="0"/>
      <w:marTop w:val="0"/>
      <w:marBottom w:val="0"/>
      <w:divBdr>
        <w:top w:val="none" w:sz="0" w:space="0" w:color="auto"/>
        <w:left w:val="none" w:sz="0" w:space="0" w:color="auto"/>
        <w:bottom w:val="none" w:sz="0" w:space="0" w:color="auto"/>
        <w:right w:val="none" w:sz="0" w:space="0" w:color="auto"/>
      </w:divBdr>
    </w:div>
    <w:div w:id="2046173173">
      <w:bodyDiv w:val="1"/>
      <w:marLeft w:val="0"/>
      <w:marRight w:val="0"/>
      <w:marTop w:val="0"/>
      <w:marBottom w:val="0"/>
      <w:divBdr>
        <w:top w:val="none" w:sz="0" w:space="0" w:color="auto"/>
        <w:left w:val="none" w:sz="0" w:space="0" w:color="auto"/>
        <w:bottom w:val="none" w:sz="0" w:space="0" w:color="auto"/>
        <w:right w:val="none" w:sz="0" w:space="0" w:color="auto"/>
      </w:divBdr>
    </w:div>
    <w:div w:id="2072580184">
      <w:bodyDiv w:val="1"/>
      <w:marLeft w:val="0"/>
      <w:marRight w:val="0"/>
      <w:marTop w:val="0"/>
      <w:marBottom w:val="0"/>
      <w:divBdr>
        <w:top w:val="none" w:sz="0" w:space="0" w:color="auto"/>
        <w:left w:val="none" w:sz="0" w:space="0" w:color="auto"/>
        <w:bottom w:val="none" w:sz="0" w:space="0" w:color="auto"/>
        <w:right w:val="none" w:sz="0" w:space="0" w:color="auto"/>
      </w:divBdr>
    </w:div>
    <w:div w:id="207978807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litgrid.eu/uploads/files/dir639/dir31/dir1/19_0.php" TargetMode="External"/><Relationship Id="rId3" Type="http://schemas.openxmlformats.org/officeDocument/2006/relationships/hyperlink" Target="https://www.litgrid.eu/uploads/files/dir570/dir28/dir1/16_0.php" TargetMode="External"/><Relationship Id="rId7" Type="http://schemas.openxmlformats.org/officeDocument/2006/relationships/hyperlink" Target="https://www.ast.lv/en/events/revised-harmonised-principles-baltic-lfc-reserve-prequalification" TargetMode="External"/><Relationship Id="rId2" Type="http://schemas.openxmlformats.org/officeDocument/2006/relationships/hyperlink" Target="https://www.ast.lv/lv/events/baltijas-balansesanas-rezervju-jaudas-tirgus-izpetes-sabiedriskas-apspriesanas-rezultati" TargetMode="External"/><Relationship Id="rId1" Type="http://schemas.openxmlformats.org/officeDocument/2006/relationships/hyperlink" Target="https://elering.ee/sites/default/files/2021-07/Market%20test%20study%20report_1.pdf" TargetMode="External"/><Relationship Id="rId6" Type="http://schemas.openxmlformats.org/officeDocument/2006/relationships/hyperlink" Target="https://www.litgrid.eu/index.php/power-system/baltic-load-frequency-control-block/31091" TargetMode="External"/><Relationship Id="rId5" Type="http://schemas.openxmlformats.org/officeDocument/2006/relationships/hyperlink" Target="https://ast.lv/en/events/updated-concept-baltic-load-frequency-control-block-development-and-baltic-balancing" TargetMode="External"/><Relationship Id="rId4" Type="http://schemas.openxmlformats.org/officeDocument/2006/relationships/hyperlink" Target="https://elering.ee/sites/default/files/2021-01/Baltic%20Load-Frequency%20Control%20concept%20documen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Company\Users\vveramyeva\AppData\Roaming\Microsoft\Templates\ENTSOE\140121_ENTSO-E_Template_Report_no%20LSPp.dotx" TargetMode="External"/></Relationships>
</file>

<file path=word/theme/theme1.xml><?xml version="1.0" encoding="utf-8"?>
<a:theme xmlns:a="http://schemas.openxmlformats.org/drawingml/2006/main" name="Larissa">
  <a:themeElements>
    <a:clrScheme name="Entsoe">
      <a:dk1>
        <a:sysClr val="windowText" lastClr="000000"/>
      </a:dk1>
      <a:lt1>
        <a:sysClr val="window" lastClr="FFFFFF"/>
      </a:lt1>
      <a:dk2>
        <a:srgbClr val="23236E"/>
      </a:dk2>
      <a:lt2>
        <a:srgbClr val="636466"/>
      </a:lt2>
      <a:accent1>
        <a:srgbClr val="585C9F"/>
      </a:accent1>
      <a:accent2>
        <a:srgbClr val="797BB7"/>
      </a:accent2>
      <a:accent3>
        <a:srgbClr val="7F5A9B"/>
      </a:accent3>
      <a:accent4>
        <a:srgbClr val="B4B4C8"/>
      </a:accent4>
      <a:accent5>
        <a:srgbClr val="487BB4"/>
      </a:accent5>
      <a:accent6>
        <a:srgbClr val="9EBF57"/>
      </a:accent6>
      <a:hlink>
        <a:srgbClr val="0000FF"/>
      </a:hlink>
      <a:folHlink>
        <a:srgbClr val="800080"/>
      </a:folHlink>
    </a:clrScheme>
    <a:fontScheme name="Entsoe">
      <a:majorFont>
        <a:latin typeface="Arial"/>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as" ma:contentTypeID="0x0101005949307610B34E4FA6A7A4EDB45D803F" ma:contentTypeVersion="7" ma:contentTypeDescription="Kurkite naują dokumentą." ma:contentTypeScope="" ma:versionID="538ad763c0b554f0e6d2c1d000582d44">
  <xsd:schema xmlns:xsd="http://www.w3.org/2001/XMLSchema" xmlns:xs="http://www.w3.org/2001/XMLSchema" xmlns:p="http://schemas.microsoft.com/office/2006/metadata/properties" xmlns:ns2="ea738680-df66-4c15-8544-c2096a60734a" xmlns:ns3="4a24d479-58f9-44f8-90f9-339fc6aacae3" targetNamespace="http://schemas.microsoft.com/office/2006/metadata/properties" ma:root="true" ma:fieldsID="2d474e15eb255704abe05a81d7ec06a3" ns2:_="" ns3:_="">
    <xsd:import namespace="ea738680-df66-4c15-8544-c2096a60734a"/>
    <xsd:import namespace="4a24d479-58f9-44f8-90f9-339fc6aaca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38680-df66-4c15-8544-c2096a607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4d479-58f9-44f8-90f9-339fc6aacae3" elementFormDefault="qualified">
    <xsd:import namespace="http://schemas.microsoft.com/office/2006/documentManagement/types"/>
    <xsd:import namespace="http://schemas.microsoft.com/office/infopath/2007/PartnerControls"/>
    <xsd:element name="SharedWithUsers" ma:index="12"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F13020-ED37-46CE-86BF-CA854E2F0300}">
  <ds:schemaRefs>
    <ds:schemaRef ds:uri="http://schemas.microsoft.com/sharepoint/v3/contenttype/forms"/>
  </ds:schemaRefs>
</ds:datastoreItem>
</file>

<file path=customXml/itemProps2.xml><?xml version="1.0" encoding="utf-8"?>
<ds:datastoreItem xmlns:ds="http://schemas.openxmlformats.org/officeDocument/2006/customXml" ds:itemID="{14CB100A-07B3-4FFC-A3D8-6ED1A1031793}">
  <ds:schemaRefs>
    <ds:schemaRef ds:uri="http://schemas.openxmlformats.org/officeDocument/2006/bibliography"/>
  </ds:schemaRefs>
</ds:datastoreItem>
</file>

<file path=customXml/itemProps3.xml><?xml version="1.0" encoding="utf-8"?>
<ds:datastoreItem xmlns:ds="http://schemas.openxmlformats.org/officeDocument/2006/customXml" ds:itemID="{9440056C-A517-4123-B0B0-0297228A982A}">
  <ds:schemaRefs>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4a24d479-58f9-44f8-90f9-339fc6aacae3"/>
    <ds:schemaRef ds:uri="ea738680-df66-4c15-8544-c2096a60734a"/>
  </ds:schemaRefs>
</ds:datastoreItem>
</file>

<file path=customXml/itemProps4.xml><?xml version="1.0" encoding="utf-8"?>
<ds:datastoreItem xmlns:ds="http://schemas.openxmlformats.org/officeDocument/2006/customXml" ds:itemID="{914B251F-974A-4C6A-ACCE-34AE01C90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38680-df66-4c15-8544-c2096a60734a"/>
    <ds:schemaRef ds:uri="4a24d479-58f9-44f8-90f9-339fc6aac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140121_ENTSO-E_Template_Report_no LSPp</Template>
  <TotalTime>7</TotalTime>
  <Pages>16</Pages>
  <Words>5802</Words>
  <Characters>33072</Characters>
  <Application>Microsoft Office Word</Application>
  <DocSecurity>0</DocSecurity>
  <Lines>275</Lines>
  <Paragraphs>77</Paragraphs>
  <ScaleCrop>false</ScaleCrop>
  <Company>HP</Company>
  <LinksUpToDate>false</LinksUpToDate>
  <CharactersWithSpaces>38797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Explanatory document for the Baltic proposal to the Baltic balancing capacity market rules in accordance with EBGL Articles 33(1) and 38(1)</dc:title>
  <dc:subject/>
  <dc:creator>PT CZCA</dc:creator>
  <cp:keywords/>
  <cp:lastModifiedBy>Šarūnas Burdulis</cp:lastModifiedBy>
  <cp:revision>464</cp:revision>
  <cp:lastPrinted>2018-01-30T21:14:00Z</cp:lastPrinted>
  <dcterms:created xsi:type="dcterms:W3CDTF">2022-10-21T11:58:00Z</dcterms:created>
  <dcterms:modified xsi:type="dcterms:W3CDTF">2023-11-24T11:33:00Z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0x0101005949307610B34E4FA6A7A4EDB45D803F</vt:lpwstr>
  </property>
  <property fmtid="{D5CDD505-2E9C-101B-9397-08002B2CF9AE}" pid="4" name="TaxKeyword">
    <vt:lpwstr/>
  </property>
  <property fmtid="{D5CDD505-2E9C-101B-9397-08002B2CF9AE}" pid="5" name="m21e1f176c4a4ad491d679d83442a8a3">
    <vt:lpwstr/>
  </property>
  <property fmtid="{D5CDD505-2E9C-101B-9397-08002B2CF9AE}" pid="6" name="b">
    <vt:lpwstr/>
  </property>
  <property fmtid="{D5CDD505-2E9C-101B-9397-08002B2CF9AE}" pid="7" name="Addo_DocID">
    <vt:lpwstr>6fbf3a3b-6786-4633-b863-d335d3e7fcf8</vt:lpwstr>
  </property>
  <property fmtid="{D5CDD505-2E9C-101B-9397-08002B2CF9AE}" pid="8" name="MSIP_Label_66cffd26-8a8e-4271-ae8c-0448cc98c6fa_Enabled">
    <vt:lpwstr>true</vt:lpwstr>
  </property>
  <property fmtid="{D5CDD505-2E9C-101B-9397-08002B2CF9AE}" pid="9" name="MSIP_Label_66cffd26-8a8e-4271-ae8c-0448cc98c6fa_SetDate">
    <vt:lpwstr>2020-12-02T13:05:13Z</vt:lpwstr>
  </property>
  <property fmtid="{D5CDD505-2E9C-101B-9397-08002B2CF9AE}" pid="10" name="MSIP_Label_66cffd26-8a8e-4271-ae8c-0448cc98c6fa_Method">
    <vt:lpwstr>Standard</vt:lpwstr>
  </property>
  <property fmtid="{D5CDD505-2E9C-101B-9397-08002B2CF9AE}" pid="11" name="MSIP_Label_66cffd26-8a8e-4271-ae8c-0448cc98c6fa_Name">
    <vt:lpwstr>AST dokumenti</vt:lpwstr>
  </property>
  <property fmtid="{D5CDD505-2E9C-101B-9397-08002B2CF9AE}" pid="12" name="MSIP_Label_66cffd26-8a8e-4271-ae8c-0448cc98c6fa_SiteId">
    <vt:lpwstr>c4c0dd7c-1dfb-4088-9303-96b608da35b3</vt:lpwstr>
  </property>
  <property fmtid="{D5CDD505-2E9C-101B-9397-08002B2CF9AE}" pid="13" name="MSIP_Label_66cffd26-8a8e-4271-ae8c-0448cc98c6fa_ActionId">
    <vt:lpwstr>e553c201-94bf-4976-bbf3-7ad966f96c66</vt:lpwstr>
  </property>
  <property fmtid="{D5CDD505-2E9C-101B-9397-08002B2CF9AE}" pid="14" name="MSIP_Label_66cffd26-8a8e-4271-ae8c-0448cc98c6fa_ContentBits">
    <vt:lpwstr>0</vt:lpwstr>
  </property>
  <property fmtid="{D5CDD505-2E9C-101B-9397-08002B2CF9AE}" pid="15" name="MSIP_Label_32ae7b5d-0aac-474b-ae2b-02c331ef2874_Enabled">
    <vt:lpwstr>true</vt:lpwstr>
  </property>
  <property fmtid="{D5CDD505-2E9C-101B-9397-08002B2CF9AE}" pid="16" name="MSIP_Label_32ae7b5d-0aac-474b-ae2b-02c331ef2874_SetDate">
    <vt:lpwstr>2021-10-29T08:00:35Z</vt:lpwstr>
  </property>
  <property fmtid="{D5CDD505-2E9C-101B-9397-08002B2CF9AE}" pid="17" name="MSIP_Label_32ae7b5d-0aac-474b-ae2b-02c331ef2874_Method">
    <vt:lpwstr>Privileged</vt:lpwstr>
  </property>
  <property fmtid="{D5CDD505-2E9C-101B-9397-08002B2CF9AE}" pid="18" name="MSIP_Label_32ae7b5d-0aac-474b-ae2b-02c331ef2874_Name">
    <vt:lpwstr>VIDINĖ</vt:lpwstr>
  </property>
  <property fmtid="{D5CDD505-2E9C-101B-9397-08002B2CF9AE}" pid="19" name="MSIP_Label_32ae7b5d-0aac-474b-ae2b-02c331ef2874_SiteId">
    <vt:lpwstr>86bcf768-7bcf-4cd6-b041-b219988b7a9c</vt:lpwstr>
  </property>
  <property fmtid="{D5CDD505-2E9C-101B-9397-08002B2CF9AE}" pid="20" name="MSIP_Label_32ae7b5d-0aac-474b-ae2b-02c331ef2874_ActionId">
    <vt:lpwstr>f2e88459-1b46-4196-abad-6b475ea84fb1</vt:lpwstr>
  </property>
  <property fmtid="{D5CDD505-2E9C-101B-9397-08002B2CF9AE}" pid="21" name="MSIP_Label_32ae7b5d-0aac-474b-ae2b-02c331ef2874_ContentBits">
    <vt:lpwstr>0</vt:lpwstr>
  </property>
</Properties>
</file>