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22344D">
      <w:pPr>
        <w:sectPr w:rsidR="00DF06B0" w:rsidSect="00586362">
          <w:headerReference w:type="default" r:id="rId12"/>
          <w:footerReference w:type="default" r:id="rId13"/>
          <w:type w:val="continuous"/>
          <w:pgSz w:w="11906" w:h="16838" w:code="9"/>
          <w:pgMar w:top="1701" w:right="849" w:bottom="1134" w:left="1134" w:header="709" w:footer="67" w:gutter="0"/>
          <w:cols w:space="708"/>
          <w:docGrid w:linePitch="360"/>
        </w:sectPr>
      </w:pPr>
      <w:bookmarkStart w:id="0" w:name="_GoBack"/>
      <w:bookmarkEnd w:id="0"/>
    </w:p>
    <w:p w14:paraId="0886E279" w14:textId="04D5E10A" w:rsidR="000710D4" w:rsidRPr="000710D4" w:rsidRDefault="008452A0" w:rsidP="0022344D">
      <w:pPr>
        <w:pStyle w:val="Heading1"/>
      </w:pPr>
      <w:r>
        <w:lastRenderedPageBreak/>
        <w:t>Elektriturg – 201</w:t>
      </w:r>
      <w:r w:rsidR="008B5630">
        <w:t>6</w:t>
      </w:r>
      <w:r>
        <w:t xml:space="preserve"> </w:t>
      </w:r>
      <w:r w:rsidR="008B5630">
        <w:t>jaanuar</w:t>
      </w:r>
    </w:p>
    <w:p w14:paraId="3786B4E0" w14:textId="0158F6E8" w:rsidR="008452A0" w:rsidRDefault="0016686A" w:rsidP="0022344D">
      <w:r>
        <w:t>04</w:t>
      </w:r>
      <w:r w:rsidR="008452A0">
        <w:t>.</w:t>
      </w:r>
      <w:r w:rsidR="008B5630">
        <w:t>03</w:t>
      </w:r>
      <w:r w:rsidR="008452A0">
        <w:t>.2016</w:t>
      </w:r>
    </w:p>
    <w:p w14:paraId="6EEF1A85" w14:textId="6C857039" w:rsidR="008452A0" w:rsidRDefault="00687E49" w:rsidP="008452A0">
      <w:pPr>
        <w:pStyle w:val="NoSpacing"/>
        <w:numPr>
          <w:ilvl w:val="0"/>
          <w:numId w:val="28"/>
        </w:numPr>
      </w:pPr>
      <w:r>
        <w:t xml:space="preserve">Põhjamaade elektribörsi Nord Pool </w:t>
      </w:r>
      <w:r w:rsidR="008452A0">
        <w:t>Eesti hinnapiir</w:t>
      </w:r>
      <w:r>
        <w:softHyphen/>
      </w:r>
      <w:r w:rsidR="008452A0">
        <w:t xml:space="preserve">konna keskmine hind oli </w:t>
      </w:r>
      <w:r w:rsidR="008B5630">
        <w:t>jaanuaris</w:t>
      </w:r>
      <w:r w:rsidR="008452A0">
        <w:t xml:space="preserve"> </w:t>
      </w:r>
      <w:r w:rsidR="008B5630">
        <w:t>37,63</w:t>
      </w:r>
      <w:r w:rsidR="008452A0">
        <w:t xml:space="preserve"> €/MWh ehk kuises võrdluses </w:t>
      </w:r>
      <w:r w:rsidR="008B5630">
        <w:t>ca 41</w:t>
      </w:r>
      <w:r w:rsidR="008452A0">
        <w:t xml:space="preserve">% </w:t>
      </w:r>
      <w:r w:rsidR="008B5630">
        <w:t>kõrgem</w:t>
      </w:r>
      <w:r w:rsidR="008452A0">
        <w:t>;</w:t>
      </w:r>
    </w:p>
    <w:p w14:paraId="7354F697" w14:textId="592F7CC0" w:rsidR="008452A0" w:rsidRDefault="008452A0" w:rsidP="008452A0">
      <w:pPr>
        <w:pStyle w:val="NoSpacing"/>
        <w:numPr>
          <w:ilvl w:val="0"/>
          <w:numId w:val="28"/>
        </w:numPr>
      </w:pPr>
      <w:r>
        <w:t>Nord Pool</w:t>
      </w:r>
      <w:r w:rsidR="00687E49">
        <w:t xml:space="preserve"> börsi</w:t>
      </w:r>
      <w:r>
        <w:t xml:space="preserve"> </w:t>
      </w:r>
      <w:r w:rsidR="008B5630">
        <w:t>süsteemi</w:t>
      </w:r>
      <w:r>
        <w:t xml:space="preserve">hind </w:t>
      </w:r>
      <w:r w:rsidR="008B5630">
        <w:t>ke</w:t>
      </w:r>
      <w:r w:rsidR="000E31EA">
        <w:t>r</w:t>
      </w:r>
      <w:r w:rsidR="008B5630">
        <w:t>kis</w:t>
      </w:r>
      <w:r>
        <w:t xml:space="preserve"> </w:t>
      </w:r>
      <w:r w:rsidR="008B5630">
        <w:t xml:space="preserve">58% </w:t>
      </w:r>
      <w:r>
        <w:t xml:space="preserve">võrra tasemele </w:t>
      </w:r>
      <w:r w:rsidR="008B5630">
        <w:t>29</w:t>
      </w:r>
      <w:r>
        <w:t>,85 €/MWh;</w:t>
      </w:r>
    </w:p>
    <w:p w14:paraId="7FC50852" w14:textId="7E75C8A3" w:rsidR="008452A0" w:rsidRDefault="008452A0" w:rsidP="008452A0">
      <w:pPr>
        <w:pStyle w:val="NoSpacing"/>
        <w:numPr>
          <w:ilvl w:val="0"/>
          <w:numId w:val="28"/>
        </w:numPr>
      </w:pPr>
      <w:r>
        <w:t>Eesti ja Läti hinnapiirkondade hinnad ühtisid päev-ette turul 1</w:t>
      </w:r>
      <w:r w:rsidR="008B5630">
        <w:t>83</w:t>
      </w:r>
      <w:r>
        <w:t xml:space="preserve"> tunnil ehk </w:t>
      </w:r>
      <w:r w:rsidR="008B5630">
        <w:t>25</w:t>
      </w:r>
      <w:r>
        <w:t xml:space="preserve">% </w:t>
      </w:r>
      <w:r w:rsidR="008B5630">
        <w:t>jaanuari</w:t>
      </w:r>
      <w:r>
        <w:t xml:space="preserve"> tundidest;</w:t>
      </w:r>
    </w:p>
    <w:p w14:paraId="311F4999" w14:textId="7A311C34" w:rsidR="008452A0" w:rsidRDefault="008452A0" w:rsidP="00BD5398">
      <w:pPr>
        <w:pStyle w:val="NoSpacing"/>
        <w:numPr>
          <w:ilvl w:val="0"/>
          <w:numId w:val="28"/>
        </w:numPr>
      </w:pPr>
      <w:r>
        <w:t xml:space="preserve">Eesti ja Soome päev-ette hinnad ühtisid </w:t>
      </w:r>
      <w:r w:rsidR="008B5630">
        <w:t>jaanuaris</w:t>
      </w:r>
      <w:r w:rsidR="004D3B95">
        <w:t xml:space="preserve"> 72</w:t>
      </w:r>
      <w:r w:rsidR="008B5630">
        <w:t>2</w:t>
      </w:r>
      <w:r>
        <w:t xml:space="preserve"> tunnil ehk </w:t>
      </w:r>
      <w:r w:rsidR="004D3B95">
        <w:t>97</w:t>
      </w:r>
      <w:r>
        <w:t>% ajast;</w:t>
      </w:r>
    </w:p>
    <w:p w14:paraId="7F997A47" w14:textId="19365E1F" w:rsidR="008452A0" w:rsidRPr="008452A0" w:rsidRDefault="008B5630" w:rsidP="00BD5398">
      <w:pPr>
        <w:pStyle w:val="NoSpacing"/>
        <w:numPr>
          <w:ilvl w:val="0"/>
          <w:numId w:val="28"/>
        </w:numPr>
      </w:pPr>
      <w:r>
        <w:t>Jaanuari</w:t>
      </w:r>
      <w:r w:rsidR="008452A0">
        <w:t xml:space="preserve"> börsihindade erinevuse alusel maksid süsteemihaldurid limiteeritud PTR-e ostnud turu</w:t>
      </w:r>
      <w:r w:rsidR="002E69A8">
        <w:softHyphen/>
      </w:r>
      <w:r w:rsidR="008452A0">
        <w:t xml:space="preserve">osalistele kokku </w:t>
      </w:r>
      <w:r>
        <w:t>3,</w:t>
      </w:r>
      <w:r w:rsidR="008452A0">
        <w:t>2 miljonit eurot.</w:t>
      </w:r>
    </w:p>
    <w:p w14:paraId="4CCFC003" w14:textId="77777777" w:rsidR="008452A0" w:rsidRPr="008452A0" w:rsidRDefault="008452A0" w:rsidP="0022344D"/>
    <w:p w14:paraId="568AE7A7" w14:textId="21699167" w:rsidR="00052F09" w:rsidRDefault="002E69A8" w:rsidP="0022344D">
      <w:pPr>
        <w:pStyle w:val="Heading2"/>
      </w:pPr>
      <w:r>
        <w:t>Elektribörside hinnad</w:t>
      </w:r>
    </w:p>
    <w:p w14:paraId="3F23AFA1" w14:textId="0DD1BF39" w:rsidR="00A92BC3" w:rsidRDefault="00EC3FE6" w:rsidP="0022344D">
      <w:r>
        <w:t xml:space="preserve">Jaanuaris kasvasid </w:t>
      </w:r>
      <w:r w:rsidR="002E69A8">
        <w:t xml:space="preserve">Põhjamaade elektribörsil Nord Pool (NP) </w:t>
      </w:r>
      <w:r w:rsidR="00AA1B2E">
        <w:t>hinnad kõikides hinnapiirkondades</w:t>
      </w:r>
      <w:r w:rsidR="00B42CD1">
        <w:t>, peegeldades detsembriga võrreldes oluliselt külmemat ilma</w:t>
      </w:r>
      <w:r w:rsidR="00AA1B2E">
        <w:t>.</w:t>
      </w:r>
      <w:r w:rsidR="002E69A8">
        <w:t xml:space="preserve"> Taanis esines </w:t>
      </w:r>
      <w:r w:rsidR="00B42CD1">
        <w:t xml:space="preserve">küll </w:t>
      </w:r>
      <w:r w:rsidR="002E69A8">
        <w:t xml:space="preserve">soodsate tuuleolude tõttu </w:t>
      </w:r>
      <w:r w:rsidR="00AA1B2E">
        <w:t>ka tunde, mil elektri hind oli negatiivne</w:t>
      </w:r>
      <w:r w:rsidR="002E69A8">
        <w:t xml:space="preserve"> </w:t>
      </w:r>
      <w:r w:rsidR="00AA1B2E">
        <w:t xml:space="preserve">ehk </w:t>
      </w:r>
      <w:r w:rsidR="002E69A8">
        <w:t>tarbimise eest</w:t>
      </w:r>
      <w:r w:rsidR="00AA1B2E">
        <w:t xml:space="preserve"> maksti peale (kuni </w:t>
      </w:r>
      <w:r w:rsidR="00B42CD1">
        <w:t>2,97</w:t>
      </w:r>
      <w:r w:rsidR="00AA1B2E">
        <w:t xml:space="preserve"> €/MWh)</w:t>
      </w:r>
      <w:r w:rsidR="00B42CD1">
        <w:t>, kuid hind oli kuutaguse ajaga võrreldes kõikides piirkondades vähemalt 30% kõrgem.</w:t>
      </w:r>
      <w:r w:rsidR="002E69A8">
        <w:t xml:space="preserve"> Süsteemi</w:t>
      </w:r>
      <w:r w:rsidR="0014591B">
        <w:t xml:space="preserve"> kuu keskmine </w:t>
      </w:r>
      <w:r w:rsidR="002E69A8">
        <w:t xml:space="preserve">hind </w:t>
      </w:r>
      <w:r w:rsidR="0014591B">
        <w:t xml:space="preserve">oli 29,85 €/MWh ehk </w:t>
      </w:r>
      <w:r w:rsidR="00B42CD1">
        <w:t>dets</w:t>
      </w:r>
      <w:r w:rsidR="00AA1B2E">
        <w:t>embriga</w:t>
      </w:r>
      <w:r w:rsidR="002E69A8">
        <w:t xml:space="preserve"> võrrel</w:t>
      </w:r>
      <w:r w:rsidR="0022344D">
        <w:softHyphen/>
      </w:r>
      <w:r w:rsidR="002E69A8">
        <w:t xml:space="preserve">des </w:t>
      </w:r>
      <w:r w:rsidR="0014591B">
        <w:t>58,4% kõrgem</w:t>
      </w:r>
      <w:r w:rsidR="002E69A8">
        <w:t>.</w:t>
      </w:r>
      <w:r w:rsidR="00C623E7">
        <w:t xml:space="preserve"> </w:t>
      </w:r>
      <w:r w:rsidR="00687E49">
        <w:t>Kuigi</w:t>
      </w:r>
      <w:r w:rsidR="00C623E7">
        <w:t xml:space="preserve"> veeolud </w:t>
      </w:r>
      <w:r w:rsidR="00687E49">
        <w:t xml:space="preserve">Põhjamaades on jätkuvalt head </w:t>
      </w:r>
      <w:r w:rsidR="0022344D">
        <w:t>–</w:t>
      </w:r>
      <w:r w:rsidR="002E69A8">
        <w:t xml:space="preserve"> Norra, Rootsi ja</w:t>
      </w:r>
      <w:r w:rsidR="0022344D">
        <w:t xml:space="preserve"> Soome hüdro</w:t>
      </w:r>
      <w:r w:rsidR="00C623E7">
        <w:softHyphen/>
      </w:r>
      <w:r w:rsidR="0022344D">
        <w:t>reservuaaride täitu</w:t>
      </w:r>
      <w:r w:rsidR="002E69A8">
        <w:t>vus on eelnevate aast</w:t>
      </w:r>
      <w:r w:rsidR="0022344D">
        <w:t xml:space="preserve">atega võrreldes jätkuvalt </w:t>
      </w:r>
      <w:r w:rsidR="002E69A8">
        <w:t>suurem</w:t>
      </w:r>
      <w:r w:rsidR="000E31EA">
        <w:t>,</w:t>
      </w:r>
      <w:r w:rsidR="002E69A8">
        <w:t xml:space="preserve"> olles </w:t>
      </w:r>
      <w:r w:rsidR="00687E49">
        <w:t>jaanuari</w:t>
      </w:r>
      <w:r w:rsidR="002E69A8">
        <w:t xml:space="preserve"> lõpus ~</w:t>
      </w:r>
      <w:r w:rsidR="00687E49">
        <w:t>66</w:t>
      </w:r>
      <w:r w:rsidR="002E69A8">
        <w:t>%</w:t>
      </w:r>
      <w:r w:rsidR="0022344D">
        <w:t xml:space="preserve"> tasemel</w:t>
      </w:r>
      <w:r w:rsidR="002E69A8">
        <w:t xml:space="preserve"> maksimaalsest (100% 02.01.2012 121 429 GWh)</w:t>
      </w:r>
      <w:r w:rsidR="00687E49">
        <w:t xml:space="preserve"> – tõi jaanuari külmade talveilmadega kaasnenud nõudluse kasv kaasa olulise hinnatõusu</w:t>
      </w:r>
      <w:r w:rsidR="002E69A8">
        <w:t>.</w:t>
      </w:r>
    </w:p>
    <w:p w14:paraId="70D021B4" w14:textId="77777777" w:rsidR="00A92BC3" w:rsidRDefault="00A92BC3" w:rsidP="0022344D"/>
    <w:p w14:paraId="3AB9E3B8" w14:textId="72CB5EEA" w:rsidR="00B82C56" w:rsidRDefault="0014591B" w:rsidP="00C85D7A">
      <w:pPr>
        <w:spacing w:after="40"/>
      </w:pPr>
      <w:r>
        <w:rPr>
          <w:noProof/>
        </w:rPr>
        <w:drawing>
          <wp:inline distT="0" distB="0" distL="0" distR="0" wp14:anchorId="32B44FF5" wp14:editId="79DB72AD">
            <wp:extent cx="2971800" cy="1781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02A12F82" w14:textId="6B0AD7CA" w:rsidR="0022344D" w:rsidRPr="0022344D" w:rsidRDefault="0022344D" w:rsidP="0022344D">
      <w:pPr>
        <w:rPr>
          <w:rStyle w:val="SubtleEmphasis"/>
        </w:rPr>
      </w:pPr>
      <w:r w:rsidRPr="0022344D">
        <w:rPr>
          <w:rStyle w:val="SubtleEmphasis"/>
        </w:rPr>
        <w:t>Hüdroreservuaaride täituvus Põhjamaades</w:t>
      </w:r>
      <w:r>
        <w:rPr>
          <w:rStyle w:val="SubtleEmphasis"/>
        </w:rPr>
        <w:t xml:space="preserve"> 201</w:t>
      </w:r>
      <w:r w:rsidR="00687E49">
        <w:rPr>
          <w:rStyle w:val="SubtleEmphasis"/>
        </w:rPr>
        <w:t>2</w:t>
      </w:r>
      <w:r>
        <w:rPr>
          <w:rStyle w:val="SubtleEmphasis"/>
        </w:rPr>
        <w:t>-201</w:t>
      </w:r>
      <w:r w:rsidR="00687E49">
        <w:rPr>
          <w:rStyle w:val="SubtleEmphasis"/>
        </w:rPr>
        <w:t>6</w:t>
      </w:r>
    </w:p>
    <w:p w14:paraId="0861DCCB" w14:textId="77777777" w:rsidR="00B82C56" w:rsidRDefault="00B82C56" w:rsidP="0022344D"/>
    <w:p w14:paraId="03B6C813" w14:textId="0CD578CA" w:rsidR="0023093F" w:rsidRDefault="0023093F" w:rsidP="0023093F">
      <w:r>
        <w:t>Jaanuaris uuenes korduvalt Nord Pool börsi päevas müü</w:t>
      </w:r>
      <w:r w:rsidR="002904FB">
        <w:softHyphen/>
      </w:r>
      <w:r>
        <w:t>dud elektri rekord – 20.01.2016 müüdi järgmiseks päe</w:t>
      </w:r>
      <w:r w:rsidR="002904FB">
        <w:softHyphen/>
      </w:r>
      <w:r>
        <w:t>vaks 1,55 TWh elektrienergiat, samuti saavutati börsi ajaloo kõige suurem nädalane müügikogus (18.-24. jaa</w:t>
      </w:r>
      <w:r w:rsidR="002904FB">
        <w:softHyphen/>
      </w:r>
      <w:r>
        <w:t>nuaril müüdi kokku 10,2 TWh elektrienergiat).</w:t>
      </w:r>
    </w:p>
    <w:p w14:paraId="1626373A" w14:textId="77777777" w:rsidR="0023093F" w:rsidRDefault="0023093F" w:rsidP="0023093F"/>
    <w:p w14:paraId="2D600E25" w14:textId="5E8F4DF5" w:rsidR="00B82C56" w:rsidRDefault="0022344D" w:rsidP="0022344D">
      <w:r>
        <w:t xml:space="preserve">Elektri tootmine kasvas </w:t>
      </w:r>
      <w:r w:rsidR="001E6517">
        <w:t>jaanuaris</w:t>
      </w:r>
      <w:r w:rsidR="00C63E2F">
        <w:t xml:space="preserve"> Norras </w:t>
      </w:r>
      <w:r w:rsidR="001E6517">
        <w:t>19</w:t>
      </w:r>
      <w:r w:rsidR="00C63E2F">
        <w:t xml:space="preserve">%, Rootsis </w:t>
      </w:r>
      <w:r w:rsidR="001E6517">
        <w:t>15</w:t>
      </w:r>
      <w:r w:rsidR="00C63E2F">
        <w:t xml:space="preserve">%, Soomes </w:t>
      </w:r>
      <w:r w:rsidR="001E6517">
        <w:t>13</w:t>
      </w:r>
      <w:r w:rsidR="00C63E2F">
        <w:t xml:space="preserve">% ja Taanis </w:t>
      </w:r>
      <w:r w:rsidR="001E6517">
        <w:t>9</w:t>
      </w:r>
      <w:r w:rsidR="00C63E2F">
        <w:t>%.</w:t>
      </w:r>
      <w:r w:rsidR="00C623E7">
        <w:t xml:space="preserve"> Tarbimine kasvas samuti:</w:t>
      </w:r>
      <w:r w:rsidR="00C623E7" w:rsidRPr="00C623E7">
        <w:t xml:space="preserve"> </w:t>
      </w:r>
      <w:r w:rsidR="00C623E7">
        <w:t>Norras 1</w:t>
      </w:r>
      <w:r w:rsidR="001E6517">
        <w:t>7</w:t>
      </w:r>
      <w:r w:rsidR="00C623E7">
        <w:t xml:space="preserve">%, Rootsis </w:t>
      </w:r>
      <w:r w:rsidR="001E6517">
        <w:t>20</w:t>
      </w:r>
      <w:r w:rsidR="00C623E7">
        <w:t xml:space="preserve">%, Soomes </w:t>
      </w:r>
      <w:r w:rsidR="001E6517">
        <w:t>21</w:t>
      </w:r>
      <w:r w:rsidR="00C623E7">
        <w:t xml:space="preserve">% ja Taanis </w:t>
      </w:r>
      <w:r w:rsidR="001E6517">
        <w:t>8</w:t>
      </w:r>
      <w:r w:rsidR="00C623E7">
        <w:t>%. K</w:t>
      </w:r>
      <w:r w:rsidR="001E6517">
        <w:t>uu k</w:t>
      </w:r>
      <w:r w:rsidR="00C623E7">
        <w:t>okkuvõt</w:t>
      </w:r>
      <w:r w:rsidR="001E6517">
        <w:t>tes tähendas see seda, et Norras toodeti elektrit 9</w:t>
      </w:r>
      <w:r w:rsidR="00C623E7">
        <w:t xml:space="preserve">% ning Rootsis </w:t>
      </w:r>
      <w:r w:rsidR="001E6517">
        <w:t>5</w:t>
      </w:r>
      <w:r w:rsidR="00C623E7">
        <w:t>%</w:t>
      </w:r>
      <w:r w:rsidR="001E6517">
        <w:t xml:space="preserve"> enam kui tarbiti</w:t>
      </w:r>
      <w:r w:rsidR="00C623E7">
        <w:t xml:space="preserve">. </w:t>
      </w:r>
      <w:r w:rsidR="001E6517">
        <w:t>Ka Taani suutis talvekuudele omaselt katta kogu tarbimise oma toodan</w:t>
      </w:r>
      <w:r w:rsidR="007327AD">
        <w:softHyphen/>
      </w:r>
      <w:r w:rsidR="001E6517">
        <w:t xml:space="preserve">guga – tootmine ületas tarbimist 4%. </w:t>
      </w:r>
      <w:r w:rsidR="00C623E7">
        <w:t xml:space="preserve">Soome kattis oma toodanguga </w:t>
      </w:r>
      <w:r w:rsidR="001E6517">
        <w:t>77</w:t>
      </w:r>
      <w:r w:rsidR="00C623E7">
        <w:t xml:space="preserve">% </w:t>
      </w:r>
      <w:r w:rsidR="001E6517">
        <w:t xml:space="preserve">sisemaisest </w:t>
      </w:r>
      <w:r w:rsidR="00C623E7">
        <w:t xml:space="preserve">tarbimisest. </w:t>
      </w:r>
    </w:p>
    <w:p w14:paraId="590B7655" w14:textId="77777777" w:rsidR="00B82C56" w:rsidRDefault="00B82C56" w:rsidP="0022344D"/>
    <w:p w14:paraId="27C7935E" w14:textId="1F22824B" w:rsidR="00B82C56" w:rsidRDefault="00AF5480" w:rsidP="0022344D">
      <w:r>
        <w:lastRenderedPageBreak/>
        <w:t>Läti</w:t>
      </w:r>
      <w:r w:rsidR="009C7C9F">
        <w:t>s tõusis</w:t>
      </w:r>
      <w:r>
        <w:t xml:space="preserve"> elektri hind </w:t>
      </w:r>
      <w:r w:rsidR="009C7C9F">
        <w:t>30,4% ja oli kuu keskmisena 50,01</w:t>
      </w:r>
      <w:r>
        <w:t xml:space="preserve"> </w:t>
      </w:r>
      <w:r w:rsidR="009C7C9F">
        <w:t>€/MWh.</w:t>
      </w:r>
      <w:r>
        <w:t xml:space="preserve"> Leedu</w:t>
      </w:r>
      <w:r w:rsidR="009C7C9F">
        <w:t xml:space="preserve"> hind oli Nord Pool börsi kõrgeim - 50,32 €/MWh (+31,3</w:t>
      </w:r>
      <w:r>
        <w:t>%</w:t>
      </w:r>
      <w:r w:rsidR="009C7C9F">
        <w:t>).</w:t>
      </w:r>
      <w:r w:rsidR="007822CB">
        <w:t xml:space="preserve"> Leedu hind oli Lätiga võrreldes 15 tunnil kõrgem (13., 15. ja 25. jaanuaril).</w:t>
      </w:r>
    </w:p>
    <w:p w14:paraId="2E6D339F" w14:textId="77777777" w:rsidR="00B82C56" w:rsidRDefault="00B82C56" w:rsidP="0022344D"/>
    <w:tbl>
      <w:tblPr>
        <w:tblStyle w:val="TableGrid"/>
        <w:tblW w:w="0" w:type="auto"/>
        <w:tblInd w:w="-5" w:type="dxa"/>
        <w:tblLook w:val="04A0" w:firstRow="1" w:lastRow="0" w:firstColumn="1" w:lastColumn="0" w:noHBand="0" w:noVBand="1"/>
      </w:tblPr>
      <w:tblGrid>
        <w:gridCol w:w="1560"/>
        <w:gridCol w:w="1559"/>
        <w:gridCol w:w="1554"/>
      </w:tblGrid>
      <w:tr w:rsidR="00D231C5" w:rsidRPr="00D231C5" w14:paraId="765CEC47" w14:textId="77777777" w:rsidTr="00C85D7A">
        <w:tc>
          <w:tcPr>
            <w:tcW w:w="1560" w:type="dxa"/>
            <w:vMerge w:val="restart"/>
            <w:shd w:val="clear" w:color="auto" w:fill="007087"/>
            <w:vAlign w:val="center"/>
          </w:tcPr>
          <w:p w14:paraId="45A222A0" w14:textId="20267F09" w:rsidR="00D231C5" w:rsidRPr="00D231C5" w:rsidRDefault="00D231C5" w:rsidP="00D231C5">
            <w:pPr>
              <w:pStyle w:val="NoSpacing"/>
              <w:spacing w:before="60" w:after="60"/>
              <w:jc w:val="left"/>
              <w:rPr>
                <w:b/>
                <w:color w:val="FFFFFF" w:themeColor="background1"/>
                <w:sz w:val="16"/>
                <w:szCs w:val="16"/>
              </w:rPr>
            </w:pPr>
            <w:r w:rsidRPr="00D231C5">
              <w:rPr>
                <w:b/>
                <w:color w:val="FFFFFF" w:themeColor="background1"/>
                <w:sz w:val="16"/>
                <w:szCs w:val="16"/>
              </w:rPr>
              <w:t>Hinnapiirkond</w:t>
            </w:r>
          </w:p>
        </w:tc>
        <w:tc>
          <w:tcPr>
            <w:tcW w:w="3113" w:type="dxa"/>
            <w:gridSpan w:val="2"/>
            <w:shd w:val="clear" w:color="auto" w:fill="007087"/>
            <w:vAlign w:val="center"/>
          </w:tcPr>
          <w:p w14:paraId="2F088ED9" w14:textId="2C845D3A" w:rsidR="00D231C5" w:rsidRPr="00D231C5" w:rsidRDefault="00D231C5" w:rsidP="00D231C5">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D231C5" w:rsidRPr="00D231C5" w14:paraId="2A57DD93" w14:textId="77777777" w:rsidTr="00C85D7A">
        <w:tc>
          <w:tcPr>
            <w:tcW w:w="1560" w:type="dxa"/>
            <w:vMerge/>
            <w:shd w:val="clear" w:color="auto" w:fill="007087"/>
            <w:vAlign w:val="center"/>
          </w:tcPr>
          <w:p w14:paraId="65E14AA4" w14:textId="77777777" w:rsidR="00D231C5" w:rsidRPr="00D231C5" w:rsidRDefault="00D231C5" w:rsidP="00D231C5">
            <w:pPr>
              <w:pStyle w:val="NoSpacing"/>
              <w:spacing w:before="60" w:after="60"/>
              <w:jc w:val="center"/>
              <w:rPr>
                <w:b/>
                <w:color w:val="FFFFFF" w:themeColor="background1"/>
                <w:sz w:val="16"/>
                <w:szCs w:val="16"/>
              </w:rPr>
            </w:pPr>
          </w:p>
        </w:tc>
        <w:tc>
          <w:tcPr>
            <w:tcW w:w="1559" w:type="dxa"/>
            <w:shd w:val="clear" w:color="auto" w:fill="007087"/>
            <w:vAlign w:val="center"/>
          </w:tcPr>
          <w:p w14:paraId="0EF95052" w14:textId="58254089" w:rsidR="00D231C5" w:rsidRPr="00D231C5" w:rsidRDefault="00D231C5" w:rsidP="009C7C9F">
            <w:pPr>
              <w:pStyle w:val="NoSpacing"/>
              <w:spacing w:before="60" w:after="60"/>
              <w:jc w:val="center"/>
              <w:rPr>
                <w:b/>
                <w:color w:val="FFFFFF" w:themeColor="background1"/>
                <w:sz w:val="16"/>
                <w:szCs w:val="16"/>
              </w:rPr>
            </w:pPr>
            <w:r>
              <w:rPr>
                <w:b/>
                <w:color w:val="FFFFFF" w:themeColor="background1"/>
                <w:sz w:val="16"/>
                <w:szCs w:val="16"/>
              </w:rPr>
              <w:t>201</w:t>
            </w:r>
            <w:r w:rsidR="009C7C9F">
              <w:rPr>
                <w:b/>
                <w:color w:val="FFFFFF" w:themeColor="background1"/>
                <w:sz w:val="16"/>
                <w:szCs w:val="16"/>
              </w:rPr>
              <w:t>6</w:t>
            </w:r>
            <w:r>
              <w:rPr>
                <w:b/>
                <w:color w:val="FFFFFF" w:themeColor="background1"/>
                <w:sz w:val="16"/>
                <w:szCs w:val="16"/>
              </w:rPr>
              <w:t xml:space="preserve"> </w:t>
            </w:r>
            <w:r w:rsidR="009C7C9F">
              <w:rPr>
                <w:b/>
                <w:color w:val="FFFFFF" w:themeColor="background1"/>
                <w:sz w:val="16"/>
                <w:szCs w:val="16"/>
              </w:rPr>
              <w:t>jaanua</w:t>
            </w:r>
            <w:r>
              <w:rPr>
                <w:b/>
                <w:color w:val="FFFFFF" w:themeColor="background1"/>
                <w:sz w:val="16"/>
                <w:szCs w:val="16"/>
              </w:rPr>
              <w:t>r</w:t>
            </w:r>
          </w:p>
        </w:tc>
        <w:tc>
          <w:tcPr>
            <w:tcW w:w="1554" w:type="dxa"/>
            <w:shd w:val="clear" w:color="auto" w:fill="007087"/>
            <w:vAlign w:val="center"/>
          </w:tcPr>
          <w:p w14:paraId="0D8B0BFF" w14:textId="636869F7" w:rsidR="00D231C5" w:rsidRPr="00D231C5" w:rsidRDefault="00D231C5" w:rsidP="009C7C9F">
            <w:pPr>
              <w:pStyle w:val="NoSpacing"/>
              <w:spacing w:before="60" w:after="60"/>
              <w:jc w:val="center"/>
              <w:rPr>
                <w:b/>
                <w:color w:val="FFFFFF" w:themeColor="background1"/>
                <w:sz w:val="16"/>
                <w:szCs w:val="16"/>
              </w:rPr>
            </w:pPr>
            <w:r w:rsidRPr="00D231C5">
              <w:rPr>
                <w:b/>
                <w:color w:val="FFFFFF" w:themeColor="background1"/>
                <w:sz w:val="16"/>
                <w:szCs w:val="16"/>
              </w:rPr>
              <w:t xml:space="preserve">2015 </w:t>
            </w:r>
            <w:r w:rsidR="009C7C9F">
              <w:rPr>
                <w:b/>
                <w:color w:val="FFFFFF" w:themeColor="background1"/>
                <w:sz w:val="16"/>
                <w:szCs w:val="16"/>
              </w:rPr>
              <w:t>dets</w:t>
            </w:r>
            <w:r>
              <w:rPr>
                <w:b/>
                <w:color w:val="FFFFFF" w:themeColor="background1"/>
                <w:sz w:val="16"/>
                <w:szCs w:val="16"/>
              </w:rPr>
              <w:t>ember</w:t>
            </w:r>
          </w:p>
        </w:tc>
      </w:tr>
      <w:tr w:rsidR="009C7C9F" w:rsidRPr="00D231C5" w14:paraId="7E42BB8B" w14:textId="77777777" w:rsidTr="00C85D7A">
        <w:tc>
          <w:tcPr>
            <w:tcW w:w="1560" w:type="dxa"/>
            <w:vAlign w:val="center"/>
          </w:tcPr>
          <w:p w14:paraId="07DC2320" w14:textId="373C0AAC" w:rsidR="009C7C9F" w:rsidRPr="00D231C5" w:rsidRDefault="009C7C9F" w:rsidP="009C7C9F">
            <w:pPr>
              <w:pStyle w:val="NoSpacing"/>
              <w:spacing w:before="60" w:after="60"/>
              <w:jc w:val="left"/>
              <w:rPr>
                <w:sz w:val="16"/>
                <w:szCs w:val="16"/>
              </w:rPr>
            </w:pPr>
            <w:r>
              <w:rPr>
                <w:sz w:val="16"/>
                <w:szCs w:val="16"/>
              </w:rPr>
              <w:t>NP Eesti</w:t>
            </w:r>
          </w:p>
        </w:tc>
        <w:tc>
          <w:tcPr>
            <w:tcW w:w="1559" w:type="dxa"/>
            <w:vAlign w:val="center"/>
          </w:tcPr>
          <w:p w14:paraId="233C4A7C" w14:textId="733A117A" w:rsidR="009C7C9F" w:rsidRPr="00D231C5" w:rsidRDefault="007822CB" w:rsidP="009C7C9F">
            <w:pPr>
              <w:pStyle w:val="NoSpacing"/>
              <w:spacing w:before="60" w:after="60"/>
              <w:jc w:val="center"/>
              <w:rPr>
                <w:sz w:val="16"/>
                <w:szCs w:val="16"/>
              </w:rPr>
            </w:pPr>
            <w:r>
              <w:rPr>
                <w:sz w:val="16"/>
                <w:szCs w:val="16"/>
              </w:rPr>
              <w:t>37,63</w:t>
            </w:r>
          </w:p>
        </w:tc>
        <w:tc>
          <w:tcPr>
            <w:tcW w:w="1554" w:type="dxa"/>
            <w:vAlign w:val="center"/>
          </w:tcPr>
          <w:p w14:paraId="5B0231F0" w14:textId="088FD274" w:rsidR="009C7C9F" w:rsidRPr="00D231C5" w:rsidRDefault="009C7C9F" w:rsidP="009C7C9F">
            <w:pPr>
              <w:pStyle w:val="NoSpacing"/>
              <w:spacing w:before="60" w:after="60"/>
              <w:jc w:val="center"/>
              <w:rPr>
                <w:sz w:val="16"/>
                <w:szCs w:val="16"/>
              </w:rPr>
            </w:pPr>
            <w:r>
              <w:rPr>
                <w:sz w:val="16"/>
                <w:szCs w:val="16"/>
              </w:rPr>
              <w:t>26,72</w:t>
            </w:r>
          </w:p>
        </w:tc>
      </w:tr>
      <w:tr w:rsidR="009C7C9F" w:rsidRPr="00D231C5" w14:paraId="22379ACD" w14:textId="77777777" w:rsidTr="00C85D7A">
        <w:tc>
          <w:tcPr>
            <w:tcW w:w="1560" w:type="dxa"/>
            <w:vAlign w:val="center"/>
          </w:tcPr>
          <w:p w14:paraId="6121D142" w14:textId="15722DDF" w:rsidR="009C7C9F" w:rsidRPr="00D231C5" w:rsidRDefault="009C7C9F" w:rsidP="009C7C9F">
            <w:pPr>
              <w:pStyle w:val="NoSpacing"/>
              <w:spacing w:before="60" w:after="60"/>
              <w:jc w:val="left"/>
              <w:rPr>
                <w:sz w:val="16"/>
                <w:szCs w:val="16"/>
              </w:rPr>
            </w:pPr>
            <w:r>
              <w:rPr>
                <w:sz w:val="16"/>
                <w:szCs w:val="16"/>
              </w:rPr>
              <w:t>NP Läti</w:t>
            </w:r>
          </w:p>
        </w:tc>
        <w:tc>
          <w:tcPr>
            <w:tcW w:w="1559" w:type="dxa"/>
            <w:vAlign w:val="center"/>
          </w:tcPr>
          <w:p w14:paraId="6965C44A" w14:textId="15BD5FCC" w:rsidR="009C7C9F" w:rsidRPr="00D231C5" w:rsidRDefault="007822CB" w:rsidP="009C7C9F">
            <w:pPr>
              <w:pStyle w:val="NoSpacing"/>
              <w:spacing w:before="60" w:after="60"/>
              <w:jc w:val="center"/>
              <w:rPr>
                <w:sz w:val="16"/>
                <w:szCs w:val="16"/>
              </w:rPr>
            </w:pPr>
            <w:r>
              <w:rPr>
                <w:sz w:val="16"/>
                <w:szCs w:val="16"/>
              </w:rPr>
              <w:t>50,01</w:t>
            </w:r>
          </w:p>
        </w:tc>
        <w:tc>
          <w:tcPr>
            <w:tcW w:w="1554" w:type="dxa"/>
            <w:vAlign w:val="center"/>
          </w:tcPr>
          <w:p w14:paraId="002839A2" w14:textId="10896910" w:rsidR="009C7C9F" w:rsidRPr="00D231C5" w:rsidRDefault="009C7C9F" w:rsidP="009C7C9F">
            <w:pPr>
              <w:pStyle w:val="NoSpacing"/>
              <w:spacing w:before="60" w:after="60"/>
              <w:jc w:val="center"/>
              <w:rPr>
                <w:sz w:val="16"/>
                <w:szCs w:val="16"/>
              </w:rPr>
            </w:pPr>
            <w:r>
              <w:rPr>
                <w:sz w:val="16"/>
                <w:szCs w:val="16"/>
              </w:rPr>
              <w:t>38,34</w:t>
            </w:r>
          </w:p>
        </w:tc>
      </w:tr>
      <w:tr w:rsidR="009C7C9F" w:rsidRPr="00D231C5" w14:paraId="087E262F" w14:textId="77777777" w:rsidTr="00C85D7A">
        <w:tc>
          <w:tcPr>
            <w:tcW w:w="1560" w:type="dxa"/>
            <w:vAlign w:val="center"/>
          </w:tcPr>
          <w:p w14:paraId="4A3A5EA0" w14:textId="58567F21" w:rsidR="009C7C9F" w:rsidRPr="00D231C5" w:rsidRDefault="009C7C9F" w:rsidP="009C7C9F">
            <w:pPr>
              <w:pStyle w:val="NoSpacing"/>
              <w:spacing w:before="60" w:after="60"/>
              <w:jc w:val="left"/>
              <w:rPr>
                <w:sz w:val="16"/>
                <w:szCs w:val="16"/>
              </w:rPr>
            </w:pPr>
            <w:r>
              <w:rPr>
                <w:sz w:val="16"/>
                <w:szCs w:val="16"/>
              </w:rPr>
              <w:t>NP Leedu</w:t>
            </w:r>
          </w:p>
        </w:tc>
        <w:tc>
          <w:tcPr>
            <w:tcW w:w="1559" w:type="dxa"/>
            <w:vAlign w:val="center"/>
          </w:tcPr>
          <w:p w14:paraId="3C4CF22C" w14:textId="1D10CCEF" w:rsidR="009C7C9F" w:rsidRPr="00D231C5" w:rsidRDefault="007822CB" w:rsidP="009C7C9F">
            <w:pPr>
              <w:pStyle w:val="NoSpacing"/>
              <w:spacing w:before="60" w:after="60"/>
              <w:jc w:val="center"/>
              <w:rPr>
                <w:sz w:val="16"/>
                <w:szCs w:val="16"/>
              </w:rPr>
            </w:pPr>
            <w:r>
              <w:rPr>
                <w:sz w:val="16"/>
                <w:szCs w:val="16"/>
              </w:rPr>
              <w:t>50,32</w:t>
            </w:r>
          </w:p>
        </w:tc>
        <w:tc>
          <w:tcPr>
            <w:tcW w:w="1554" w:type="dxa"/>
            <w:vAlign w:val="center"/>
          </w:tcPr>
          <w:p w14:paraId="6EF357DA" w14:textId="029031C7" w:rsidR="009C7C9F" w:rsidRPr="00D231C5" w:rsidRDefault="009C7C9F" w:rsidP="009C7C9F">
            <w:pPr>
              <w:pStyle w:val="NoSpacing"/>
              <w:spacing w:before="60" w:after="60"/>
              <w:jc w:val="center"/>
              <w:rPr>
                <w:sz w:val="16"/>
                <w:szCs w:val="16"/>
              </w:rPr>
            </w:pPr>
            <w:r>
              <w:rPr>
                <w:sz w:val="16"/>
                <w:szCs w:val="16"/>
              </w:rPr>
              <w:t>38,34</w:t>
            </w:r>
          </w:p>
        </w:tc>
      </w:tr>
      <w:tr w:rsidR="009C7C9F" w:rsidRPr="00D231C5" w14:paraId="275EA157" w14:textId="77777777" w:rsidTr="00C85D7A">
        <w:tc>
          <w:tcPr>
            <w:tcW w:w="1560" w:type="dxa"/>
            <w:vAlign w:val="center"/>
          </w:tcPr>
          <w:p w14:paraId="67811784" w14:textId="0957FAE5" w:rsidR="009C7C9F" w:rsidRDefault="009C7C9F" w:rsidP="009C7C9F">
            <w:pPr>
              <w:pStyle w:val="NoSpacing"/>
              <w:spacing w:before="60" w:after="60"/>
              <w:jc w:val="left"/>
              <w:rPr>
                <w:sz w:val="16"/>
                <w:szCs w:val="16"/>
              </w:rPr>
            </w:pPr>
            <w:r>
              <w:rPr>
                <w:sz w:val="16"/>
                <w:szCs w:val="16"/>
              </w:rPr>
              <w:t>NP Soome</w:t>
            </w:r>
          </w:p>
        </w:tc>
        <w:tc>
          <w:tcPr>
            <w:tcW w:w="1559" w:type="dxa"/>
            <w:vAlign w:val="center"/>
          </w:tcPr>
          <w:p w14:paraId="5E701C43" w14:textId="2892ACAA" w:rsidR="009C7C9F" w:rsidRPr="00D231C5" w:rsidRDefault="007822CB" w:rsidP="009C7C9F">
            <w:pPr>
              <w:pStyle w:val="NoSpacing"/>
              <w:spacing w:before="60" w:after="60"/>
              <w:jc w:val="center"/>
              <w:rPr>
                <w:sz w:val="16"/>
                <w:szCs w:val="16"/>
              </w:rPr>
            </w:pPr>
            <w:r>
              <w:rPr>
                <w:sz w:val="16"/>
                <w:szCs w:val="16"/>
              </w:rPr>
              <w:t>27,83</w:t>
            </w:r>
          </w:p>
        </w:tc>
        <w:tc>
          <w:tcPr>
            <w:tcW w:w="1554" w:type="dxa"/>
            <w:vAlign w:val="center"/>
          </w:tcPr>
          <w:p w14:paraId="0DF9131B" w14:textId="70D26426" w:rsidR="009C7C9F" w:rsidRPr="00D231C5" w:rsidRDefault="009C7C9F" w:rsidP="009C7C9F">
            <w:pPr>
              <w:pStyle w:val="NoSpacing"/>
              <w:spacing w:before="60" w:after="60"/>
              <w:jc w:val="center"/>
              <w:rPr>
                <w:sz w:val="16"/>
                <w:szCs w:val="16"/>
              </w:rPr>
            </w:pPr>
            <w:r>
              <w:rPr>
                <w:sz w:val="16"/>
                <w:szCs w:val="16"/>
              </w:rPr>
              <w:t>26,56</w:t>
            </w:r>
          </w:p>
        </w:tc>
      </w:tr>
      <w:tr w:rsidR="007822CB" w:rsidRPr="00D231C5" w14:paraId="16567181" w14:textId="77777777" w:rsidTr="00C85D7A">
        <w:tc>
          <w:tcPr>
            <w:tcW w:w="1560" w:type="dxa"/>
            <w:vAlign w:val="center"/>
          </w:tcPr>
          <w:p w14:paraId="326156CD" w14:textId="0D4D1139" w:rsidR="007822CB" w:rsidRDefault="007822CB" w:rsidP="009C7C9F">
            <w:pPr>
              <w:pStyle w:val="NoSpacing"/>
              <w:spacing w:before="60" w:after="60"/>
              <w:jc w:val="left"/>
              <w:rPr>
                <w:sz w:val="16"/>
                <w:szCs w:val="16"/>
              </w:rPr>
            </w:pPr>
            <w:r>
              <w:rPr>
                <w:sz w:val="16"/>
                <w:szCs w:val="16"/>
              </w:rPr>
              <w:t>NP FRE</w:t>
            </w:r>
          </w:p>
        </w:tc>
        <w:tc>
          <w:tcPr>
            <w:tcW w:w="1559" w:type="dxa"/>
            <w:vAlign w:val="center"/>
          </w:tcPr>
          <w:p w14:paraId="5B4BD1CF" w14:textId="1DE3C933" w:rsidR="007822CB" w:rsidRDefault="007822CB" w:rsidP="009C7C9F">
            <w:pPr>
              <w:pStyle w:val="NoSpacing"/>
              <w:spacing w:before="60" w:after="60"/>
              <w:jc w:val="center"/>
              <w:rPr>
                <w:sz w:val="16"/>
                <w:szCs w:val="16"/>
              </w:rPr>
            </w:pPr>
            <w:r>
              <w:rPr>
                <w:sz w:val="16"/>
                <w:szCs w:val="16"/>
              </w:rPr>
              <w:t>30,99</w:t>
            </w:r>
          </w:p>
        </w:tc>
        <w:tc>
          <w:tcPr>
            <w:tcW w:w="1554" w:type="dxa"/>
            <w:vAlign w:val="center"/>
          </w:tcPr>
          <w:p w14:paraId="06BCDC27" w14:textId="609A6363" w:rsidR="007822CB" w:rsidRDefault="007822CB" w:rsidP="009C7C9F">
            <w:pPr>
              <w:pStyle w:val="NoSpacing"/>
              <w:spacing w:before="60" w:after="60"/>
              <w:jc w:val="center"/>
              <w:rPr>
                <w:sz w:val="16"/>
                <w:szCs w:val="16"/>
              </w:rPr>
            </w:pPr>
            <w:r>
              <w:rPr>
                <w:sz w:val="16"/>
                <w:szCs w:val="16"/>
              </w:rPr>
              <w:t>19,83</w:t>
            </w:r>
          </w:p>
        </w:tc>
      </w:tr>
    </w:tbl>
    <w:p w14:paraId="035D492C" w14:textId="77777777" w:rsidR="00C50744" w:rsidRDefault="00C50744" w:rsidP="00C50744">
      <w:pPr>
        <w:pStyle w:val="NoSpacing"/>
      </w:pPr>
    </w:p>
    <w:p w14:paraId="26A35EA0" w14:textId="5B55D704" w:rsidR="00D231C5" w:rsidRDefault="00F1755A" w:rsidP="00C50744">
      <w:pPr>
        <w:pStyle w:val="NoSpacing"/>
      </w:pPr>
      <w:r w:rsidRPr="00F1755A">
        <w:t>European Power Exchange’i (EPEX SPOT) European Electricity Index</w:t>
      </w:r>
      <w:r w:rsidR="00904C55">
        <w:t xml:space="preserve"> (ELIX)</w:t>
      </w:r>
      <w:r w:rsidRPr="00F1755A">
        <w:t xml:space="preserve"> baaskoormuse ja tipukoormuse keskmi</w:t>
      </w:r>
      <w:r w:rsidR="00620473">
        <w:softHyphen/>
      </w:r>
      <w:r w:rsidRPr="00F1755A">
        <w:t xml:space="preserve">sed hinnad </w:t>
      </w:r>
      <w:r w:rsidR="00904C55">
        <w:t>kerkisid</w:t>
      </w:r>
      <w:r w:rsidR="00620473">
        <w:t xml:space="preserve"> </w:t>
      </w:r>
      <w:r w:rsidR="00904C55">
        <w:t>jaanuaris</w:t>
      </w:r>
      <w:r w:rsidRPr="00F1755A">
        <w:t xml:space="preserve"> vastavalt </w:t>
      </w:r>
      <w:r w:rsidR="00921AAF">
        <w:t>6,1</w:t>
      </w:r>
      <w:r w:rsidRPr="00F1755A">
        <w:t>% (</w:t>
      </w:r>
      <w:r w:rsidR="00921AAF">
        <w:t>30,02</w:t>
      </w:r>
      <w:r w:rsidRPr="00F1755A">
        <w:t xml:space="preserve"> €/MWh) ja </w:t>
      </w:r>
      <w:r w:rsidR="00921AAF">
        <w:t>4,9</w:t>
      </w:r>
      <w:r w:rsidRPr="00F1755A">
        <w:t>% (</w:t>
      </w:r>
      <w:r w:rsidR="00620473">
        <w:t>3</w:t>
      </w:r>
      <w:r w:rsidR="00921AAF">
        <w:t>5,87</w:t>
      </w:r>
      <w:r w:rsidRPr="00F1755A">
        <w:t xml:space="preserve"> €/MWh). Saksamaa PHELIX piir</w:t>
      </w:r>
      <w:r w:rsidR="00620473">
        <w:softHyphen/>
      </w:r>
      <w:r w:rsidRPr="00F1755A">
        <w:t xml:space="preserve">konna baaskoormuse keskmiseks hinnaks kujunes </w:t>
      </w:r>
      <w:r w:rsidR="007327AD">
        <w:t>jäänu</w:t>
      </w:r>
      <w:r w:rsidR="007327AD">
        <w:softHyphen/>
        <w:t>ris</w:t>
      </w:r>
      <w:r w:rsidR="00620473">
        <w:t xml:space="preserve"> </w:t>
      </w:r>
      <w:r w:rsidR="00921AAF">
        <w:t>29,04</w:t>
      </w:r>
      <w:r w:rsidRPr="00F1755A">
        <w:t xml:space="preserve"> €/MWh </w:t>
      </w:r>
      <w:r w:rsidR="00921AAF">
        <w:t xml:space="preserve">(+4,5%) </w:t>
      </w:r>
      <w:r w:rsidRPr="00F1755A">
        <w:t>ja tipukoor</w:t>
      </w:r>
      <w:r w:rsidR="00620473">
        <w:softHyphen/>
      </w:r>
      <w:r w:rsidRPr="00F1755A">
        <w:t xml:space="preserve">muse hinnaks </w:t>
      </w:r>
      <w:r w:rsidR="00921AAF">
        <w:t>35,32</w:t>
      </w:r>
      <w:r w:rsidRPr="00F1755A">
        <w:t xml:space="preserve"> €/MWh (</w:t>
      </w:r>
      <w:r w:rsidR="00921AAF">
        <w:t>+4,4</w:t>
      </w:r>
      <w:r w:rsidRPr="00F1755A">
        <w:t>%)</w:t>
      </w:r>
      <w:r w:rsidR="00921AAF">
        <w:t>.</w:t>
      </w:r>
      <w:r w:rsidRPr="00F1755A">
        <w:t xml:space="preserve"> EPEX SPOT Prantsus</w:t>
      </w:r>
      <w:r w:rsidR="00620473">
        <w:softHyphen/>
      </w:r>
      <w:r w:rsidRPr="00F1755A">
        <w:t xml:space="preserve">maa piirkonna </w:t>
      </w:r>
      <w:r w:rsidR="00620473">
        <w:t xml:space="preserve">hinnad langesid </w:t>
      </w:r>
      <w:r w:rsidR="009E1344">
        <w:t>võrreldes detsembriga</w:t>
      </w:r>
      <w:r w:rsidR="000E31EA">
        <w:t xml:space="preserve"> —</w:t>
      </w:r>
      <w:r w:rsidR="00620473">
        <w:t xml:space="preserve"> </w:t>
      </w:r>
      <w:r w:rsidRPr="00F1755A">
        <w:t>baaskoormuse keskmi</w:t>
      </w:r>
      <w:r w:rsidR="007327AD">
        <w:softHyphen/>
      </w:r>
      <w:r w:rsidRPr="00F1755A">
        <w:t xml:space="preserve">ne hind oli </w:t>
      </w:r>
      <w:r w:rsidR="009E1344">
        <w:t>33,60</w:t>
      </w:r>
      <w:r w:rsidRPr="00F1755A">
        <w:t xml:space="preserve"> €/MWh (-</w:t>
      </w:r>
      <w:r w:rsidR="009E1344">
        <w:t>4,3</w:t>
      </w:r>
      <w:r w:rsidRPr="00F1755A">
        <w:t>%) ja tipukoormuse keskmi</w:t>
      </w:r>
      <w:r w:rsidR="007327AD">
        <w:softHyphen/>
      </w:r>
      <w:r w:rsidRPr="00F1755A">
        <w:t xml:space="preserve">ne hind </w:t>
      </w:r>
      <w:r w:rsidR="009E1344">
        <w:t>39,01</w:t>
      </w:r>
      <w:r w:rsidRPr="00F1755A">
        <w:t xml:space="preserve"> €/MWh (-</w:t>
      </w:r>
      <w:r w:rsidR="009E1344">
        <w:t>3,5</w:t>
      </w:r>
      <w:r w:rsidRPr="00F1755A">
        <w:t>%).</w:t>
      </w:r>
    </w:p>
    <w:p w14:paraId="7DB789B8" w14:textId="77777777" w:rsidR="00620473" w:rsidRDefault="00620473" w:rsidP="00C50744">
      <w:pPr>
        <w:pStyle w:val="NoSpacing"/>
      </w:pPr>
    </w:p>
    <w:tbl>
      <w:tblPr>
        <w:tblStyle w:val="TableGrid"/>
        <w:tblW w:w="0" w:type="auto"/>
        <w:tblInd w:w="-5" w:type="dxa"/>
        <w:tblLook w:val="04A0" w:firstRow="1" w:lastRow="0" w:firstColumn="1" w:lastColumn="0" w:noHBand="0" w:noVBand="1"/>
      </w:tblPr>
      <w:tblGrid>
        <w:gridCol w:w="2381"/>
        <w:gridCol w:w="1134"/>
        <w:gridCol w:w="1158"/>
      </w:tblGrid>
      <w:tr w:rsidR="00620473" w:rsidRPr="00D231C5" w14:paraId="02B6DAEE" w14:textId="77777777" w:rsidTr="00CE2007">
        <w:tc>
          <w:tcPr>
            <w:tcW w:w="2381" w:type="dxa"/>
            <w:vMerge w:val="restart"/>
            <w:shd w:val="clear" w:color="auto" w:fill="007087"/>
            <w:vAlign w:val="center"/>
          </w:tcPr>
          <w:p w14:paraId="3D114F17" w14:textId="5C7A87FF" w:rsidR="00620473" w:rsidRPr="00D231C5" w:rsidRDefault="00274AFC" w:rsidP="00BD5398">
            <w:pPr>
              <w:pStyle w:val="NoSpacing"/>
              <w:spacing w:before="60" w:after="60"/>
              <w:jc w:val="left"/>
              <w:rPr>
                <w:b/>
                <w:color w:val="FFFFFF" w:themeColor="background1"/>
                <w:sz w:val="16"/>
                <w:szCs w:val="16"/>
              </w:rPr>
            </w:pPr>
            <w:r>
              <w:rPr>
                <w:b/>
                <w:color w:val="FFFFFF" w:themeColor="background1"/>
                <w:sz w:val="16"/>
                <w:szCs w:val="16"/>
              </w:rPr>
              <w:t>Elektribörs</w:t>
            </w:r>
          </w:p>
        </w:tc>
        <w:tc>
          <w:tcPr>
            <w:tcW w:w="2292" w:type="dxa"/>
            <w:gridSpan w:val="2"/>
            <w:shd w:val="clear" w:color="auto" w:fill="007087"/>
            <w:vAlign w:val="center"/>
          </w:tcPr>
          <w:p w14:paraId="5C13E7F7" w14:textId="77777777" w:rsidR="00620473" w:rsidRPr="00D231C5" w:rsidRDefault="00620473" w:rsidP="00BD5398">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620473" w:rsidRPr="00D231C5" w14:paraId="48E16198" w14:textId="77777777" w:rsidTr="00CE2007">
        <w:tc>
          <w:tcPr>
            <w:tcW w:w="2381" w:type="dxa"/>
            <w:vMerge/>
            <w:shd w:val="clear" w:color="auto" w:fill="007087"/>
            <w:vAlign w:val="center"/>
          </w:tcPr>
          <w:p w14:paraId="3BF99B07" w14:textId="77777777" w:rsidR="00620473" w:rsidRPr="00D231C5" w:rsidRDefault="00620473" w:rsidP="00BD5398">
            <w:pPr>
              <w:pStyle w:val="NoSpacing"/>
              <w:spacing w:before="60" w:after="60"/>
              <w:jc w:val="center"/>
              <w:rPr>
                <w:b/>
                <w:color w:val="FFFFFF" w:themeColor="background1"/>
                <w:sz w:val="16"/>
                <w:szCs w:val="16"/>
              </w:rPr>
            </w:pPr>
          </w:p>
        </w:tc>
        <w:tc>
          <w:tcPr>
            <w:tcW w:w="1134" w:type="dxa"/>
            <w:shd w:val="clear" w:color="auto" w:fill="007087"/>
            <w:vAlign w:val="center"/>
          </w:tcPr>
          <w:p w14:paraId="71BD28B8" w14:textId="276653E8" w:rsidR="00620473" w:rsidRPr="00D231C5" w:rsidRDefault="00C642A1" w:rsidP="00BD5398">
            <w:pPr>
              <w:pStyle w:val="NoSpacing"/>
              <w:spacing w:before="60" w:after="60"/>
              <w:jc w:val="center"/>
              <w:rPr>
                <w:b/>
                <w:color w:val="FFFFFF" w:themeColor="background1"/>
                <w:sz w:val="16"/>
                <w:szCs w:val="16"/>
              </w:rPr>
            </w:pPr>
            <w:r>
              <w:rPr>
                <w:b/>
                <w:color w:val="FFFFFF" w:themeColor="background1"/>
                <w:sz w:val="16"/>
                <w:szCs w:val="16"/>
              </w:rPr>
              <w:t>2016 jaanuar</w:t>
            </w:r>
          </w:p>
        </w:tc>
        <w:tc>
          <w:tcPr>
            <w:tcW w:w="1158" w:type="dxa"/>
            <w:shd w:val="clear" w:color="auto" w:fill="007087"/>
            <w:vAlign w:val="center"/>
          </w:tcPr>
          <w:p w14:paraId="00D00F23" w14:textId="579C6F4A" w:rsidR="00620473" w:rsidRPr="00D231C5" w:rsidRDefault="00C642A1" w:rsidP="00BD5398">
            <w:pPr>
              <w:pStyle w:val="NoSpacing"/>
              <w:spacing w:before="60" w:after="60"/>
              <w:jc w:val="center"/>
              <w:rPr>
                <w:b/>
                <w:color w:val="FFFFFF" w:themeColor="background1"/>
                <w:sz w:val="16"/>
                <w:szCs w:val="16"/>
              </w:rPr>
            </w:pPr>
            <w:r>
              <w:rPr>
                <w:b/>
                <w:color w:val="FFFFFF" w:themeColor="background1"/>
                <w:sz w:val="16"/>
                <w:szCs w:val="16"/>
              </w:rPr>
              <w:t>2015 detsember</w:t>
            </w:r>
          </w:p>
        </w:tc>
      </w:tr>
      <w:tr w:rsidR="00C642A1" w:rsidRPr="00D231C5" w14:paraId="509B8A43" w14:textId="77777777" w:rsidTr="00CE2007">
        <w:tc>
          <w:tcPr>
            <w:tcW w:w="2381" w:type="dxa"/>
            <w:vAlign w:val="center"/>
          </w:tcPr>
          <w:p w14:paraId="0969E0AF" w14:textId="6A65BAAD" w:rsidR="00C642A1" w:rsidRPr="005D3A6D" w:rsidRDefault="00C642A1" w:rsidP="00C642A1">
            <w:pPr>
              <w:pStyle w:val="NoSpacing"/>
              <w:spacing w:before="60" w:after="60"/>
              <w:jc w:val="left"/>
              <w:rPr>
                <w:sz w:val="16"/>
                <w:szCs w:val="16"/>
                <w:lang w:val="en-GB"/>
              </w:rPr>
            </w:pPr>
            <w:r w:rsidRPr="005D3A6D">
              <w:rPr>
                <w:sz w:val="16"/>
                <w:szCs w:val="16"/>
                <w:lang w:val="en-GB"/>
              </w:rPr>
              <w:t>Nord Pool (SYS)</w:t>
            </w:r>
          </w:p>
        </w:tc>
        <w:tc>
          <w:tcPr>
            <w:tcW w:w="1134" w:type="dxa"/>
            <w:vAlign w:val="center"/>
          </w:tcPr>
          <w:p w14:paraId="3DDD5E0F" w14:textId="1BADC5F2" w:rsidR="00C642A1" w:rsidRPr="00D231C5" w:rsidRDefault="00C642A1" w:rsidP="00C642A1">
            <w:pPr>
              <w:pStyle w:val="NoSpacing"/>
              <w:spacing w:before="60" w:after="60"/>
              <w:jc w:val="center"/>
              <w:rPr>
                <w:sz w:val="16"/>
                <w:szCs w:val="16"/>
              </w:rPr>
            </w:pPr>
            <w:r>
              <w:rPr>
                <w:sz w:val="16"/>
                <w:szCs w:val="16"/>
              </w:rPr>
              <w:t>29,85</w:t>
            </w:r>
          </w:p>
        </w:tc>
        <w:tc>
          <w:tcPr>
            <w:tcW w:w="1158" w:type="dxa"/>
            <w:vAlign w:val="center"/>
          </w:tcPr>
          <w:p w14:paraId="706E4009" w14:textId="59DB7ABC" w:rsidR="00C642A1" w:rsidRPr="00D231C5" w:rsidRDefault="00C642A1" w:rsidP="00C642A1">
            <w:pPr>
              <w:pStyle w:val="NoSpacing"/>
              <w:spacing w:before="60" w:after="60"/>
              <w:jc w:val="center"/>
              <w:rPr>
                <w:sz w:val="16"/>
                <w:szCs w:val="16"/>
              </w:rPr>
            </w:pPr>
            <w:r>
              <w:rPr>
                <w:sz w:val="16"/>
                <w:szCs w:val="16"/>
              </w:rPr>
              <w:t>18,85</w:t>
            </w:r>
          </w:p>
        </w:tc>
      </w:tr>
      <w:tr w:rsidR="00C642A1" w:rsidRPr="00D231C5" w14:paraId="0C374166" w14:textId="77777777" w:rsidTr="00904C55">
        <w:tc>
          <w:tcPr>
            <w:tcW w:w="2381" w:type="dxa"/>
            <w:vAlign w:val="center"/>
          </w:tcPr>
          <w:p w14:paraId="7A1402E1" w14:textId="768FAFD2" w:rsidR="00C642A1" w:rsidRPr="005D3A6D" w:rsidRDefault="00C642A1" w:rsidP="00C642A1">
            <w:pPr>
              <w:pStyle w:val="NoSpacing"/>
              <w:spacing w:before="60" w:after="60"/>
              <w:jc w:val="left"/>
              <w:rPr>
                <w:sz w:val="16"/>
                <w:szCs w:val="16"/>
                <w:lang w:val="en-GB"/>
              </w:rPr>
            </w:pPr>
            <w:r w:rsidRPr="005D3A6D">
              <w:rPr>
                <w:sz w:val="16"/>
                <w:szCs w:val="16"/>
                <w:lang w:val="en-GB"/>
              </w:rPr>
              <w:t>European Power Exchange (ELIX Base/Peak)</w:t>
            </w:r>
          </w:p>
        </w:tc>
        <w:tc>
          <w:tcPr>
            <w:tcW w:w="1134" w:type="dxa"/>
            <w:vAlign w:val="center"/>
          </w:tcPr>
          <w:p w14:paraId="6CBF6A12" w14:textId="49BB2D4F" w:rsidR="00C642A1" w:rsidRPr="00D231C5" w:rsidRDefault="00921AAF" w:rsidP="00C642A1">
            <w:pPr>
              <w:pStyle w:val="NoSpacing"/>
              <w:spacing w:before="60" w:after="60"/>
              <w:jc w:val="center"/>
              <w:rPr>
                <w:sz w:val="16"/>
                <w:szCs w:val="16"/>
              </w:rPr>
            </w:pPr>
            <w:r>
              <w:rPr>
                <w:sz w:val="16"/>
                <w:szCs w:val="16"/>
              </w:rPr>
              <w:t>30,02/35,87</w:t>
            </w:r>
          </w:p>
        </w:tc>
        <w:tc>
          <w:tcPr>
            <w:tcW w:w="1158" w:type="dxa"/>
            <w:vAlign w:val="center"/>
          </w:tcPr>
          <w:p w14:paraId="065529F5" w14:textId="54005BBB" w:rsidR="00C642A1" w:rsidRPr="00D231C5" w:rsidRDefault="00C642A1" w:rsidP="00C642A1">
            <w:pPr>
              <w:pStyle w:val="NoSpacing"/>
              <w:spacing w:before="60" w:after="60"/>
              <w:jc w:val="center"/>
              <w:rPr>
                <w:sz w:val="16"/>
                <w:szCs w:val="16"/>
              </w:rPr>
            </w:pPr>
            <w:r>
              <w:rPr>
                <w:sz w:val="16"/>
                <w:szCs w:val="16"/>
              </w:rPr>
              <w:t>28,30/34,19</w:t>
            </w:r>
          </w:p>
        </w:tc>
      </w:tr>
      <w:tr w:rsidR="00C642A1" w:rsidRPr="00D231C5" w14:paraId="487F2FFA" w14:textId="77777777" w:rsidTr="00753532">
        <w:tc>
          <w:tcPr>
            <w:tcW w:w="2381" w:type="dxa"/>
            <w:tcBorders>
              <w:bottom w:val="single" w:sz="4" w:space="0" w:color="auto"/>
            </w:tcBorders>
            <w:vAlign w:val="center"/>
          </w:tcPr>
          <w:p w14:paraId="196FBCAE" w14:textId="3334774D" w:rsidR="00C642A1" w:rsidRPr="005D3A6D" w:rsidRDefault="00C642A1" w:rsidP="00C642A1">
            <w:pPr>
              <w:pStyle w:val="NoSpacing"/>
              <w:spacing w:before="60" w:after="60"/>
              <w:jc w:val="left"/>
              <w:rPr>
                <w:sz w:val="16"/>
                <w:szCs w:val="16"/>
                <w:lang w:val="en-GB"/>
              </w:rPr>
            </w:pPr>
            <w:r w:rsidRPr="006A4ABC">
              <w:rPr>
                <w:sz w:val="16"/>
                <w:szCs w:val="16"/>
                <w:lang w:val="en-GB"/>
              </w:rPr>
              <w:t>European Power Exchange (PHELIX Base/Peak)</w:t>
            </w:r>
          </w:p>
        </w:tc>
        <w:tc>
          <w:tcPr>
            <w:tcW w:w="1134" w:type="dxa"/>
            <w:vAlign w:val="center"/>
          </w:tcPr>
          <w:p w14:paraId="6EA6269D" w14:textId="094E142F" w:rsidR="00C642A1" w:rsidRDefault="00921AAF" w:rsidP="00C642A1">
            <w:pPr>
              <w:pStyle w:val="NoSpacing"/>
              <w:spacing w:before="60" w:after="60"/>
              <w:jc w:val="center"/>
              <w:rPr>
                <w:sz w:val="16"/>
                <w:szCs w:val="16"/>
              </w:rPr>
            </w:pPr>
            <w:r>
              <w:rPr>
                <w:sz w:val="16"/>
                <w:szCs w:val="16"/>
              </w:rPr>
              <w:t>29,04/35,32</w:t>
            </w:r>
          </w:p>
        </w:tc>
        <w:tc>
          <w:tcPr>
            <w:tcW w:w="1158" w:type="dxa"/>
            <w:vAlign w:val="center"/>
          </w:tcPr>
          <w:p w14:paraId="77245935" w14:textId="63982319" w:rsidR="00C642A1" w:rsidRDefault="00921AAF" w:rsidP="00C642A1">
            <w:pPr>
              <w:pStyle w:val="NoSpacing"/>
              <w:spacing w:before="60" w:after="60"/>
              <w:jc w:val="center"/>
              <w:rPr>
                <w:sz w:val="16"/>
                <w:szCs w:val="16"/>
              </w:rPr>
            </w:pPr>
            <w:r>
              <w:rPr>
                <w:sz w:val="16"/>
                <w:szCs w:val="16"/>
              </w:rPr>
              <w:t>27,78/33,81</w:t>
            </w:r>
          </w:p>
        </w:tc>
      </w:tr>
      <w:tr w:rsidR="00C642A1" w:rsidRPr="00D231C5" w14:paraId="297079EE" w14:textId="77777777" w:rsidTr="00753532">
        <w:tc>
          <w:tcPr>
            <w:tcW w:w="2381" w:type="dxa"/>
            <w:tcBorders>
              <w:bottom w:val="single" w:sz="4" w:space="0" w:color="auto"/>
            </w:tcBorders>
            <w:vAlign w:val="center"/>
          </w:tcPr>
          <w:p w14:paraId="6F90C9C6" w14:textId="5B0270C2" w:rsidR="00C642A1" w:rsidRPr="006A4ABC" w:rsidRDefault="00C642A1" w:rsidP="00C642A1">
            <w:pPr>
              <w:pStyle w:val="NoSpacing"/>
              <w:spacing w:before="60" w:after="60"/>
              <w:jc w:val="left"/>
              <w:rPr>
                <w:sz w:val="16"/>
                <w:szCs w:val="16"/>
                <w:lang w:val="en-GB"/>
              </w:rPr>
            </w:pPr>
            <w:r w:rsidRPr="006A4ABC">
              <w:rPr>
                <w:sz w:val="16"/>
                <w:szCs w:val="16"/>
                <w:lang w:val="en-GB"/>
              </w:rPr>
              <w:t>European Power Exchange (</w:t>
            </w:r>
            <w:r>
              <w:rPr>
                <w:sz w:val="16"/>
                <w:szCs w:val="16"/>
                <w:lang w:val="en-GB"/>
              </w:rPr>
              <w:t>France</w:t>
            </w:r>
            <w:r w:rsidRPr="006A4ABC">
              <w:rPr>
                <w:sz w:val="16"/>
                <w:szCs w:val="16"/>
                <w:lang w:val="en-GB"/>
              </w:rPr>
              <w:t xml:space="preserve"> Base/Peak)</w:t>
            </w:r>
          </w:p>
        </w:tc>
        <w:tc>
          <w:tcPr>
            <w:tcW w:w="1134" w:type="dxa"/>
            <w:vAlign w:val="center"/>
          </w:tcPr>
          <w:p w14:paraId="20999B8E" w14:textId="19AB0233" w:rsidR="00C642A1" w:rsidRDefault="00921AAF" w:rsidP="00C642A1">
            <w:pPr>
              <w:pStyle w:val="NoSpacing"/>
              <w:spacing w:before="60" w:after="60"/>
              <w:jc w:val="center"/>
              <w:rPr>
                <w:sz w:val="16"/>
                <w:szCs w:val="16"/>
              </w:rPr>
            </w:pPr>
            <w:r>
              <w:rPr>
                <w:sz w:val="16"/>
                <w:szCs w:val="16"/>
              </w:rPr>
              <w:t>33,60/39,01</w:t>
            </w:r>
          </w:p>
        </w:tc>
        <w:tc>
          <w:tcPr>
            <w:tcW w:w="1158" w:type="dxa"/>
            <w:vAlign w:val="center"/>
          </w:tcPr>
          <w:p w14:paraId="3FF15C58" w14:textId="3F90A184" w:rsidR="00C642A1" w:rsidRDefault="00921AAF" w:rsidP="00C642A1">
            <w:pPr>
              <w:pStyle w:val="NoSpacing"/>
              <w:spacing w:before="60" w:after="60"/>
              <w:jc w:val="center"/>
              <w:rPr>
                <w:sz w:val="16"/>
                <w:szCs w:val="16"/>
              </w:rPr>
            </w:pPr>
            <w:r>
              <w:rPr>
                <w:sz w:val="16"/>
                <w:szCs w:val="16"/>
              </w:rPr>
              <w:t>35,13/40,43</w:t>
            </w:r>
          </w:p>
        </w:tc>
      </w:tr>
    </w:tbl>
    <w:p w14:paraId="18CE4A9E" w14:textId="77777777" w:rsidR="00620473" w:rsidRDefault="00620473" w:rsidP="00C50744">
      <w:pPr>
        <w:pStyle w:val="NoSpacing"/>
      </w:pPr>
    </w:p>
    <w:p w14:paraId="63C02A3C" w14:textId="4CF60C47" w:rsidR="00274AFC" w:rsidRDefault="00274AFC" w:rsidP="00C50744">
      <w:pPr>
        <w:pStyle w:val="NoSpacing"/>
      </w:pPr>
      <w:r w:rsidRPr="00274AFC">
        <w:t>Elektri tootmishinna</w:t>
      </w:r>
      <w:r>
        <w:t xml:space="preserve">le otsest mõju </w:t>
      </w:r>
      <w:r w:rsidR="00B24CB9">
        <w:t>avaldav</w:t>
      </w:r>
      <w:r>
        <w:t xml:space="preserve"> süsinikdi</w:t>
      </w:r>
      <w:r w:rsidR="00B24CB9">
        <w:softHyphen/>
      </w:r>
      <w:r w:rsidRPr="00274AFC">
        <w:t>o</w:t>
      </w:r>
      <w:r>
        <w:t xml:space="preserve">ksiidi emissioonikvootide hinnatase </w:t>
      </w:r>
      <w:r w:rsidR="00F24D30">
        <w:t>jaanuaris langes</w:t>
      </w:r>
      <w:r>
        <w:t xml:space="preserve"> -</w:t>
      </w:r>
      <w:r w:rsidRPr="00274AFC">
        <w:t xml:space="preserve"> madalaim sulgemishind oli </w:t>
      </w:r>
      <w:r w:rsidR="00F24D30">
        <w:t>5,87 €/t</w:t>
      </w:r>
      <w:r w:rsidRPr="00274AFC">
        <w:t>, kõrgeim 8,</w:t>
      </w:r>
      <w:r w:rsidR="00F24D30">
        <w:t>04 €/t</w:t>
      </w:r>
      <w:r w:rsidRPr="00274AFC">
        <w:t xml:space="preserve"> ning kuu keskmine </w:t>
      </w:r>
      <w:r w:rsidR="00F24D30">
        <w:t>6,81</w:t>
      </w:r>
      <w:r w:rsidRPr="00274AFC">
        <w:t xml:space="preserve"> eurot ühe tonni CO</w:t>
      </w:r>
      <w:r w:rsidRPr="00B24CB9">
        <w:rPr>
          <w:vertAlign w:val="subscript"/>
        </w:rPr>
        <w:t>2</w:t>
      </w:r>
      <w:r w:rsidRPr="00274AFC">
        <w:t xml:space="preserve"> kohta. Aasta tagasi liikusid CO</w:t>
      </w:r>
      <w:r w:rsidRPr="00B24CB9">
        <w:rPr>
          <w:vertAlign w:val="subscript"/>
        </w:rPr>
        <w:t>2</w:t>
      </w:r>
      <w:r w:rsidRPr="00274AFC">
        <w:t xml:space="preserve"> hinnad tasemel 6</w:t>
      </w:r>
      <w:r w:rsidR="00F24D30">
        <w:t>,7</w:t>
      </w:r>
      <w:r w:rsidRPr="00274AFC">
        <w:t>-7</w:t>
      </w:r>
      <w:r w:rsidR="00F24D30">
        <w:t>,3</w:t>
      </w:r>
      <w:r w:rsidRPr="00274AFC">
        <w:t xml:space="preserve"> €/t.</w:t>
      </w:r>
    </w:p>
    <w:p w14:paraId="1F7F689A" w14:textId="77777777" w:rsidR="008D6ED6" w:rsidRDefault="008D6ED6" w:rsidP="00C50744">
      <w:pPr>
        <w:pStyle w:val="NoSpacing"/>
      </w:pPr>
    </w:p>
    <w:p w14:paraId="2CCCCDEA" w14:textId="101081DB" w:rsidR="00C50744" w:rsidRDefault="00E44114" w:rsidP="0022344D">
      <w:pPr>
        <w:pStyle w:val="Heading2"/>
      </w:pPr>
      <w:r>
        <w:t>Baltikumi ja Soome hinnad</w:t>
      </w:r>
    </w:p>
    <w:p w14:paraId="53C95704" w14:textId="37B05FCF" w:rsidR="009215A9" w:rsidRDefault="009215A9" w:rsidP="009215A9">
      <w:r w:rsidRPr="00652279">
        <w:t xml:space="preserve">Eesti elektribilanss oli </w:t>
      </w:r>
      <w:r w:rsidR="00AE27EB">
        <w:t>jaanuaris</w:t>
      </w:r>
      <w:r w:rsidRPr="00652279">
        <w:t xml:space="preserve"> </w:t>
      </w:r>
      <w:r w:rsidR="00AE27EB">
        <w:t>183</w:t>
      </w:r>
      <w:r w:rsidRPr="00652279">
        <w:t xml:space="preserve"> GWh-ga ülejäägis: </w:t>
      </w:r>
      <w:r w:rsidR="00AE27EB">
        <w:t xml:space="preserve">nii </w:t>
      </w:r>
      <w:r w:rsidRPr="00F34542">
        <w:t xml:space="preserve">elektri toodang </w:t>
      </w:r>
      <w:r w:rsidR="00AE27EB">
        <w:t>kui k</w:t>
      </w:r>
      <w:r w:rsidRPr="00F34542">
        <w:t>a tarbimi</w:t>
      </w:r>
      <w:r w:rsidR="00AE27EB">
        <w:t>n</w:t>
      </w:r>
      <w:r w:rsidRPr="00F34542">
        <w:t xml:space="preserve">e </w:t>
      </w:r>
      <w:r w:rsidR="00F34542" w:rsidRPr="00F34542">
        <w:t>kasv</w:t>
      </w:r>
      <w:r w:rsidR="00AE27EB">
        <w:t>asid</w:t>
      </w:r>
      <w:r w:rsidR="00F34542" w:rsidRPr="00F34542">
        <w:t xml:space="preserve"> </w:t>
      </w:r>
      <w:r w:rsidR="00AE27EB">
        <w:t>dets</w:t>
      </w:r>
      <w:r w:rsidR="00652279" w:rsidRPr="00F34542">
        <w:t>embriga</w:t>
      </w:r>
      <w:r w:rsidRPr="00F34542">
        <w:t xml:space="preserve"> võrreldes </w:t>
      </w:r>
      <w:r w:rsidR="00AE27EB">
        <w:t xml:space="preserve">oluliselt - </w:t>
      </w:r>
      <w:r w:rsidR="00F34542" w:rsidRPr="00F34542">
        <w:t xml:space="preserve">vastavalt </w:t>
      </w:r>
      <w:r w:rsidR="00481F67">
        <w:t>39% ja 23%.</w:t>
      </w:r>
      <w:r w:rsidRPr="00F34542">
        <w:t xml:space="preserve"> Läti elektritoo</w:t>
      </w:r>
      <w:r w:rsidR="007327AD">
        <w:softHyphen/>
      </w:r>
      <w:r w:rsidRPr="00F34542">
        <w:t>dang</w:t>
      </w:r>
      <w:r w:rsidRPr="00652279">
        <w:t xml:space="preserve"> </w:t>
      </w:r>
      <w:r w:rsidR="00481F67" w:rsidRPr="00481F67">
        <w:t>kasvas</w:t>
      </w:r>
      <w:r w:rsidRPr="00481F67">
        <w:t xml:space="preserve"> eelmise kuuga võrreldes ca </w:t>
      </w:r>
      <w:r w:rsidR="00481F67" w:rsidRPr="00481F67">
        <w:t>22</w:t>
      </w:r>
      <w:r w:rsidRPr="00481F67">
        <w:t xml:space="preserve">%, tarbimine </w:t>
      </w:r>
      <w:r w:rsidR="00F34542" w:rsidRPr="00481F67">
        <w:t xml:space="preserve">kasvas </w:t>
      </w:r>
      <w:r w:rsidR="00481F67">
        <w:t>12</w:t>
      </w:r>
      <w:r w:rsidR="00F34542" w:rsidRPr="00481F67">
        <w:t>%</w:t>
      </w:r>
      <w:r w:rsidRPr="00481F67">
        <w:t xml:space="preserve">, mis tähendab </w:t>
      </w:r>
      <w:r w:rsidR="00A418B2" w:rsidRPr="00481F67">
        <w:t>Läti elektribilansi puudujää</w:t>
      </w:r>
      <w:r w:rsidR="00481F67">
        <w:t>gi</w:t>
      </w:r>
      <w:r w:rsidR="00A418B2" w:rsidRPr="00481F67">
        <w:t xml:space="preserve"> </w:t>
      </w:r>
      <w:r w:rsidR="00481F67">
        <w:t>suhtelist vähenemist 82</w:t>
      </w:r>
      <w:r w:rsidR="00A418B2" w:rsidRPr="00481F67">
        <w:t xml:space="preserve"> GWh</w:t>
      </w:r>
      <w:r w:rsidR="00481F67">
        <w:t xml:space="preserve">-ni. </w:t>
      </w:r>
      <w:r w:rsidRPr="00481F67">
        <w:t>Läti tootjate panus sise</w:t>
      </w:r>
      <w:r w:rsidR="007327AD">
        <w:softHyphen/>
      </w:r>
      <w:r w:rsidRPr="00481F67">
        <w:t xml:space="preserve">maise tarbimise katmisel oli </w:t>
      </w:r>
      <w:r w:rsidR="00A418B2" w:rsidRPr="00481F67">
        <w:t>8</w:t>
      </w:r>
      <w:r w:rsidR="00481F67">
        <w:t>9</w:t>
      </w:r>
      <w:r w:rsidRPr="00481F67">
        <w:t xml:space="preserve">%. Leedus </w:t>
      </w:r>
      <w:r w:rsidR="00481F67">
        <w:t xml:space="preserve">vähenes </w:t>
      </w:r>
      <w:r w:rsidRPr="00481F67">
        <w:t>toot</w:t>
      </w:r>
      <w:r w:rsidR="007327AD">
        <w:softHyphen/>
      </w:r>
      <w:r w:rsidRPr="00481F67">
        <w:t xml:space="preserve">mine </w:t>
      </w:r>
      <w:r w:rsidR="00481F67">
        <w:t xml:space="preserve">detsembriga </w:t>
      </w:r>
      <w:r w:rsidRPr="00481F67">
        <w:t xml:space="preserve">võrreldes </w:t>
      </w:r>
      <w:r w:rsidR="00481F67">
        <w:t>viiendiku võrra</w:t>
      </w:r>
      <w:r w:rsidRPr="00481F67">
        <w:t>. Koos tarbi</w:t>
      </w:r>
      <w:r w:rsidR="007327AD">
        <w:softHyphen/>
      </w:r>
      <w:r w:rsidRPr="00481F67">
        <w:t xml:space="preserve">mise </w:t>
      </w:r>
      <w:r w:rsidR="00481F67">
        <w:t>kasvuga</w:t>
      </w:r>
      <w:r w:rsidR="00DD240E" w:rsidRPr="00481F67">
        <w:t xml:space="preserve"> </w:t>
      </w:r>
      <w:r w:rsidR="00481F67">
        <w:t>8</w:t>
      </w:r>
      <w:r w:rsidRPr="00481F67">
        <w:t>%</w:t>
      </w:r>
      <w:r w:rsidR="00481F67">
        <w:t xml:space="preserve"> võrra</w:t>
      </w:r>
      <w:r w:rsidRPr="00481F67">
        <w:t>, tähendab see defitsii</w:t>
      </w:r>
      <w:r w:rsidR="00DD240E" w:rsidRPr="00481F67">
        <w:t>d</w:t>
      </w:r>
      <w:r w:rsidRPr="00481F67">
        <w:t xml:space="preserve">i </w:t>
      </w:r>
      <w:r w:rsidR="00481F67">
        <w:t>suurene</w:t>
      </w:r>
      <w:r w:rsidR="007327AD">
        <w:softHyphen/>
      </w:r>
      <w:r w:rsidR="00481F67">
        <w:t>mist 724</w:t>
      </w:r>
      <w:r w:rsidRPr="00481F67">
        <w:t xml:space="preserve"> GWh</w:t>
      </w:r>
      <w:r w:rsidR="00481F67">
        <w:t>-ni. 2</w:t>
      </w:r>
      <w:r w:rsidR="00DD240E" w:rsidRPr="00481F67">
        <w:t>6% tarbitud elektrist toodeti Leedus</w:t>
      </w:r>
      <w:r w:rsidRPr="00481F67">
        <w:t xml:space="preserve">. Baltikum tervikuna oli </w:t>
      </w:r>
      <w:r w:rsidR="00481F67">
        <w:t>jaanua</w:t>
      </w:r>
      <w:r w:rsidR="00DD240E" w:rsidRPr="00481F67">
        <w:t xml:space="preserve">ris </w:t>
      </w:r>
      <w:r w:rsidR="00A418B2" w:rsidRPr="00481F67">
        <w:t>6</w:t>
      </w:r>
      <w:r w:rsidR="00481F67">
        <w:t>2</w:t>
      </w:r>
      <w:r w:rsidR="00A418B2" w:rsidRPr="00481F67">
        <w:t>3</w:t>
      </w:r>
      <w:r w:rsidRPr="00481F67">
        <w:t xml:space="preserve"> GWh-ga defitsiidis (</w:t>
      </w:r>
      <w:r w:rsidR="00A418B2" w:rsidRPr="00481F67">
        <w:t>2</w:t>
      </w:r>
      <w:r w:rsidR="00481F67">
        <w:t>4</w:t>
      </w:r>
      <w:r w:rsidRPr="00481F67">
        <w:t xml:space="preserve">% kogutarbimisest), millest hinnanguliselt </w:t>
      </w:r>
      <w:r w:rsidR="00481F67">
        <w:t>41</w:t>
      </w:r>
      <w:r w:rsidRPr="00481F67">
        <w:t>% impor</w:t>
      </w:r>
      <w:r w:rsidR="007327AD">
        <w:softHyphen/>
      </w:r>
      <w:r w:rsidRPr="00481F67">
        <w:t xml:space="preserve">diti Põhjamaadest ning </w:t>
      </w:r>
      <w:r w:rsidR="00481F67">
        <w:t>59</w:t>
      </w:r>
      <w:r w:rsidRPr="00481F67">
        <w:t>% kolmandatest riikidest.</w:t>
      </w:r>
    </w:p>
    <w:p w14:paraId="46AD75C9" w14:textId="77777777" w:rsidR="009215A9" w:rsidRDefault="009215A9" w:rsidP="009215A9"/>
    <w:p w14:paraId="0A20029D" w14:textId="2F3F20DE" w:rsidR="00B82C56" w:rsidRDefault="00DB12F2" w:rsidP="00BA7A51">
      <w:pPr>
        <w:spacing w:after="40"/>
      </w:pPr>
      <w:r>
        <w:rPr>
          <w:noProof/>
        </w:rPr>
        <w:lastRenderedPageBreak/>
        <w:drawing>
          <wp:inline distT="0" distB="0" distL="0" distR="0" wp14:anchorId="14FDD3B1" wp14:editId="369FE5C9">
            <wp:extent cx="29718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5AA89E29" w14:textId="40B78FD8" w:rsidR="00F513EF" w:rsidRPr="0022344D" w:rsidRDefault="00F513EF" w:rsidP="00F513EF">
      <w:pPr>
        <w:rPr>
          <w:rStyle w:val="SubtleEmphasis"/>
        </w:rPr>
      </w:pPr>
      <w:r>
        <w:rPr>
          <w:rStyle w:val="SubtleEmphasis"/>
        </w:rPr>
        <w:t xml:space="preserve">Kuu keskmised hinnad </w:t>
      </w:r>
      <w:r w:rsidR="00DB12F2">
        <w:rPr>
          <w:rStyle w:val="SubtleEmphasis"/>
        </w:rPr>
        <w:t xml:space="preserve">jooksval </w:t>
      </w:r>
      <w:r>
        <w:rPr>
          <w:rStyle w:val="SubtleEmphasis"/>
        </w:rPr>
        <w:t>aastal</w:t>
      </w:r>
    </w:p>
    <w:p w14:paraId="081F823F" w14:textId="77777777" w:rsidR="00354CE0" w:rsidRDefault="00354CE0" w:rsidP="0022344D"/>
    <w:p w14:paraId="0910FFE7" w14:textId="1641EA45" w:rsidR="00B82C56" w:rsidRDefault="00F513EF" w:rsidP="0022344D">
      <w:r>
        <w:t xml:space="preserve">Eesti hinnapiirkonna </w:t>
      </w:r>
      <w:r w:rsidR="00DB12F2">
        <w:t xml:space="preserve">jaanuarikuu keskmine </w:t>
      </w:r>
      <w:r>
        <w:t xml:space="preserve">hind </w:t>
      </w:r>
      <w:r w:rsidR="00DB12F2">
        <w:t>oli 37,63</w:t>
      </w:r>
      <w:r>
        <w:t xml:space="preserve"> </w:t>
      </w:r>
      <w:r w:rsidR="0060228C">
        <w:t>€</w:t>
      </w:r>
      <w:r>
        <w:t>/MWh</w:t>
      </w:r>
      <w:r w:rsidR="0060228C">
        <w:t xml:space="preserve">, </w:t>
      </w:r>
      <w:r w:rsidR="00DB12F2">
        <w:t>see</w:t>
      </w:r>
      <w:r w:rsidR="0060228C">
        <w:t xml:space="preserve"> on eelmise kuuga võrreldes </w:t>
      </w:r>
      <w:r w:rsidR="00DB12F2">
        <w:t xml:space="preserve">pea 11 </w:t>
      </w:r>
      <w:r w:rsidR="0060228C">
        <w:t>eurot mega</w:t>
      </w:r>
      <w:r w:rsidR="0055665C">
        <w:softHyphen/>
      </w:r>
      <w:r w:rsidR="0060228C">
        <w:t xml:space="preserve">vatt-tunni kohta </w:t>
      </w:r>
      <w:r w:rsidR="00DB12F2">
        <w:t>kõrge</w:t>
      </w:r>
      <w:r w:rsidR="0060228C">
        <w:t>m (</w:t>
      </w:r>
      <w:r w:rsidR="00DB12F2">
        <w:t>+</w:t>
      </w:r>
      <w:r w:rsidR="0060228C">
        <w:t>1</w:t>
      </w:r>
      <w:r w:rsidR="00DB12F2">
        <w:t>1</w:t>
      </w:r>
      <w:r w:rsidR="0060228C">
        <w:t>,</w:t>
      </w:r>
      <w:r w:rsidR="00DB12F2">
        <w:t>2</w:t>
      </w:r>
      <w:r w:rsidR="0060228C">
        <w:t xml:space="preserve">%). </w:t>
      </w:r>
      <w:r w:rsidR="00DB12F2">
        <w:t>S</w:t>
      </w:r>
      <w:r w:rsidR="0060228C">
        <w:t>üsteemihinna</w:t>
      </w:r>
      <w:r w:rsidR="00354CE0">
        <w:softHyphen/>
      </w:r>
      <w:r w:rsidR="0060228C">
        <w:t xml:space="preserve">ga </w:t>
      </w:r>
      <w:r w:rsidR="00DB12F2">
        <w:t xml:space="preserve">võrreldes on Eesti hind 26% võrra kõrgem, kuid </w:t>
      </w:r>
      <w:r w:rsidR="0060228C">
        <w:t>Soome keskmise</w:t>
      </w:r>
      <w:r w:rsidR="00DB12F2">
        <w:t>st</w:t>
      </w:r>
      <w:r w:rsidR="0060228C">
        <w:t xml:space="preserve"> hinna</w:t>
      </w:r>
      <w:r w:rsidR="00DB12F2">
        <w:t>st</w:t>
      </w:r>
      <w:r w:rsidR="0060228C">
        <w:t xml:space="preserve"> oli </w:t>
      </w:r>
      <w:r w:rsidR="00DB12F2">
        <w:t>Eesti hind</w:t>
      </w:r>
      <w:r w:rsidR="009215A9">
        <w:t xml:space="preserve"> </w:t>
      </w:r>
      <w:r w:rsidR="000E31EA">
        <w:t xml:space="preserve">megavatt-tunni kohta </w:t>
      </w:r>
      <w:r w:rsidR="009215A9">
        <w:t>0,</w:t>
      </w:r>
      <w:r w:rsidR="00DB12F2">
        <w:t xml:space="preserve">20 euro võrra madalam. </w:t>
      </w:r>
      <w:r w:rsidR="009215A9">
        <w:t xml:space="preserve">Lätis ja Leedus oli elekter </w:t>
      </w:r>
      <w:r w:rsidR="00DB12F2">
        <w:t xml:space="preserve">vastavalt </w:t>
      </w:r>
      <w:r w:rsidR="009215A9">
        <w:t>1</w:t>
      </w:r>
      <w:r w:rsidR="00DB12F2">
        <w:t>2,38 ja 12,69</w:t>
      </w:r>
      <w:r w:rsidR="009215A9">
        <w:t xml:space="preserve"> €/MWh kallim kui Eestis.</w:t>
      </w:r>
    </w:p>
    <w:p w14:paraId="164CA85D" w14:textId="77777777" w:rsidR="00F513EF" w:rsidRDefault="00F513EF" w:rsidP="0022344D"/>
    <w:p w14:paraId="370C068F" w14:textId="1594F397" w:rsidR="00B82C56" w:rsidRDefault="004D247C" w:rsidP="00BA7A51">
      <w:pPr>
        <w:spacing w:after="40"/>
      </w:pPr>
      <w:r>
        <w:rPr>
          <w:noProof/>
        </w:rPr>
        <w:drawing>
          <wp:inline distT="0" distB="0" distL="0" distR="0" wp14:anchorId="40CC9AEE" wp14:editId="626D48F6">
            <wp:extent cx="2971800" cy="1704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1704975"/>
                    </a:xfrm>
                    <a:prstGeom prst="rect">
                      <a:avLst/>
                    </a:prstGeom>
                    <a:noFill/>
                    <a:ln>
                      <a:noFill/>
                    </a:ln>
                  </pic:spPr>
                </pic:pic>
              </a:graphicData>
            </a:graphic>
          </wp:inline>
        </w:drawing>
      </w:r>
    </w:p>
    <w:p w14:paraId="6E965F93" w14:textId="539FAA65" w:rsidR="009215A9" w:rsidRPr="0022344D" w:rsidRDefault="00176304" w:rsidP="009215A9">
      <w:pPr>
        <w:rPr>
          <w:rStyle w:val="SubtleEmphasis"/>
        </w:rPr>
      </w:pPr>
      <w:r>
        <w:rPr>
          <w:rStyle w:val="SubtleEmphasis"/>
        </w:rPr>
        <w:t xml:space="preserve">Päeva </w:t>
      </w:r>
      <w:r w:rsidR="009215A9">
        <w:rPr>
          <w:rStyle w:val="SubtleEmphasis"/>
        </w:rPr>
        <w:t>keskmised hinnad 201</w:t>
      </w:r>
      <w:r w:rsidR="008D1453">
        <w:rPr>
          <w:rStyle w:val="SubtleEmphasis"/>
        </w:rPr>
        <w:t>6</w:t>
      </w:r>
      <w:r w:rsidR="009215A9">
        <w:rPr>
          <w:rStyle w:val="SubtleEmphasis"/>
        </w:rPr>
        <w:t>. aasta</w:t>
      </w:r>
      <w:r>
        <w:rPr>
          <w:rStyle w:val="SubtleEmphasis"/>
        </w:rPr>
        <w:t xml:space="preserve"> </w:t>
      </w:r>
      <w:r w:rsidR="008D1453">
        <w:rPr>
          <w:rStyle w:val="SubtleEmphasis"/>
        </w:rPr>
        <w:t>jaanuaris</w:t>
      </w:r>
    </w:p>
    <w:p w14:paraId="7165D8AC" w14:textId="77777777" w:rsidR="00176304" w:rsidRDefault="00176304" w:rsidP="00176304"/>
    <w:p w14:paraId="31B7C0A2" w14:textId="0057DE3F" w:rsidR="00176304" w:rsidRDefault="00176304" w:rsidP="00176304">
      <w:r w:rsidRPr="009215A9">
        <w:t>N</w:t>
      </w:r>
      <w:r w:rsidR="00C27375">
        <w:t xml:space="preserve">ord </w:t>
      </w:r>
      <w:r w:rsidRPr="009215A9">
        <w:t>P</w:t>
      </w:r>
      <w:r w:rsidR="00C27375">
        <w:t xml:space="preserve">ool </w:t>
      </w:r>
      <w:r w:rsidR="003B53BE">
        <w:t>elektri</w:t>
      </w:r>
      <w:r w:rsidR="00C27375">
        <w:t>börsi</w:t>
      </w:r>
      <w:r w:rsidRPr="009215A9">
        <w:t xml:space="preserve"> Eesti ja Läti piirkondade </w:t>
      </w:r>
      <w:r w:rsidR="003B53BE" w:rsidRPr="009215A9">
        <w:t xml:space="preserve">päev-ette turu </w:t>
      </w:r>
      <w:r w:rsidRPr="009215A9">
        <w:t xml:space="preserve">hinnad erinesid </w:t>
      </w:r>
      <w:r w:rsidR="003B53BE">
        <w:t>jaanuaris</w:t>
      </w:r>
      <w:r w:rsidRPr="009215A9">
        <w:t xml:space="preserve"> </w:t>
      </w:r>
      <w:r w:rsidR="003B53BE">
        <w:t>561</w:t>
      </w:r>
      <w:r w:rsidRPr="009215A9">
        <w:t xml:space="preserve"> tunnil ehk </w:t>
      </w:r>
      <w:r w:rsidR="00AC7ECF">
        <w:t>7</w:t>
      </w:r>
      <w:r w:rsidR="003B53BE">
        <w:t>5,4</w:t>
      </w:r>
      <w:r w:rsidRPr="009215A9">
        <w:t>% tun</w:t>
      </w:r>
      <w:r w:rsidR="007327AD">
        <w:softHyphen/>
      </w:r>
      <w:r w:rsidRPr="009215A9">
        <w:t>didest (</w:t>
      </w:r>
      <w:r w:rsidR="003B53BE">
        <w:t>detsembris</w:t>
      </w:r>
      <w:r w:rsidRPr="009215A9">
        <w:t xml:space="preserve"> </w:t>
      </w:r>
      <w:r w:rsidR="003B53BE">
        <w:t>592</w:t>
      </w:r>
      <w:r w:rsidRPr="009215A9">
        <w:t xml:space="preserve"> tunnil ehk </w:t>
      </w:r>
      <w:r w:rsidR="003B53BE">
        <w:t>79,6</w:t>
      </w:r>
      <w:r w:rsidRPr="009215A9">
        <w:t xml:space="preserve">%). Eesti ja Soome hinnad </w:t>
      </w:r>
      <w:r>
        <w:t xml:space="preserve">erinesid päev-ette turul </w:t>
      </w:r>
      <w:r w:rsidR="003B53BE">
        <w:t>22</w:t>
      </w:r>
      <w:r w:rsidR="00AC7ECF">
        <w:t xml:space="preserve"> </w:t>
      </w:r>
      <w:r>
        <w:t>tun</w:t>
      </w:r>
      <w:r w:rsidRPr="009215A9">
        <w:t xml:space="preserve">nil ehk </w:t>
      </w:r>
      <w:r w:rsidR="003B53BE">
        <w:t>3</w:t>
      </w:r>
      <w:r w:rsidRPr="009215A9">
        <w:t>% ajast (</w:t>
      </w:r>
      <w:r w:rsidR="003B53BE">
        <w:t>dets</w:t>
      </w:r>
      <w:r w:rsidR="00AC7ECF">
        <w:t>em</w:t>
      </w:r>
      <w:r w:rsidRPr="009215A9">
        <w:t>b</w:t>
      </w:r>
      <w:r w:rsidR="0055665C">
        <w:softHyphen/>
      </w:r>
      <w:r w:rsidRPr="009215A9">
        <w:t xml:space="preserve">ris </w:t>
      </w:r>
      <w:r w:rsidR="003B53BE">
        <w:t>19</w:t>
      </w:r>
      <w:r w:rsidRPr="009215A9">
        <w:t xml:space="preserve"> tunnil ehk </w:t>
      </w:r>
      <w:r w:rsidR="003B53BE">
        <w:t>2,6</w:t>
      </w:r>
      <w:r w:rsidRPr="009215A9">
        <w:t>% t</w:t>
      </w:r>
      <w:r>
        <w:t>un</w:t>
      </w:r>
      <w:r w:rsidRPr="009215A9">
        <w:t>didest)</w:t>
      </w:r>
      <w:r w:rsidR="002B4BFE">
        <w:t>, neist 14 tunnil oli hinnaerinevuse põhjuseks nn rampimise piirang.</w:t>
      </w:r>
    </w:p>
    <w:p w14:paraId="366FD077" w14:textId="77777777" w:rsidR="009215A9" w:rsidRDefault="009215A9" w:rsidP="0022344D"/>
    <w:tbl>
      <w:tblPr>
        <w:tblStyle w:val="TableGrid"/>
        <w:tblW w:w="0" w:type="auto"/>
        <w:tblInd w:w="-5" w:type="dxa"/>
        <w:tblLook w:val="04A0" w:firstRow="1" w:lastRow="0" w:firstColumn="1" w:lastColumn="0" w:noHBand="0" w:noVBand="1"/>
      </w:tblPr>
      <w:tblGrid>
        <w:gridCol w:w="1701"/>
        <w:gridCol w:w="990"/>
        <w:gridCol w:w="991"/>
        <w:gridCol w:w="991"/>
      </w:tblGrid>
      <w:tr w:rsidR="00176304" w:rsidRPr="00D231C5" w14:paraId="14914B7A" w14:textId="596562F6" w:rsidTr="00CE2007">
        <w:tc>
          <w:tcPr>
            <w:tcW w:w="1701" w:type="dxa"/>
            <w:shd w:val="clear" w:color="auto" w:fill="007087"/>
            <w:vAlign w:val="center"/>
          </w:tcPr>
          <w:p w14:paraId="18BE6999" w14:textId="4B2A2777" w:rsidR="00176304" w:rsidRPr="00D231C5" w:rsidRDefault="003B53BE" w:rsidP="003B53BE">
            <w:pPr>
              <w:pStyle w:val="NoSpacing"/>
              <w:spacing w:before="60" w:after="60"/>
              <w:jc w:val="left"/>
              <w:rPr>
                <w:b/>
                <w:color w:val="FFFFFF" w:themeColor="background1"/>
                <w:sz w:val="16"/>
                <w:szCs w:val="16"/>
              </w:rPr>
            </w:pPr>
            <w:r>
              <w:rPr>
                <w:b/>
                <w:color w:val="FFFFFF" w:themeColor="background1"/>
                <w:sz w:val="16"/>
                <w:szCs w:val="16"/>
              </w:rPr>
              <w:t>Jaanuar</w:t>
            </w:r>
            <w:r w:rsidR="00176304">
              <w:rPr>
                <w:b/>
                <w:color w:val="FFFFFF" w:themeColor="background1"/>
                <w:sz w:val="16"/>
                <w:szCs w:val="16"/>
              </w:rPr>
              <w:t xml:space="preserve"> 201</w:t>
            </w:r>
            <w:r>
              <w:rPr>
                <w:b/>
                <w:color w:val="FFFFFF" w:themeColor="background1"/>
                <w:sz w:val="16"/>
                <w:szCs w:val="16"/>
              </w:rPr>
              <w:t>6</w:t>
            </w:r>
            <w:r w:rsidR="00176304">
              <w:rPr>
                <w:b/>
                <w:color w:val="FFFFFF" w:themeColor="background1"/>
                <w:sz w:val="16"/>
                <w:szCs w:val="16"/>
              </w:rPr>
              <w:t xml:space="preserve"> (€/MWh)</w:t>
            </w:r>
          </w:p>
        </w:tc>
        <w:tc>
          <w:tcPr>
            <w:tcW w:w="990" w:type="dxa"/>
            <w:shd w:val="clear" w:color="auto" w:fill="007087"/>
            <w:vAlign w:val="center"/>
          </w:tcPr>
          <w:p w14:paraId="5BE5DABD" w14:textId="293AEA05" w:rsidR="00176304" w:rsidRPr="00D231C5" w:rsidRDefault="00176304" w:rsidP="00BD5398">
            <w:pPr>
              <w:pStyle w:val="NoSpacing"/>
              <w:spacing w:before="60" w:after="60"/>
              <w:jc w:val="center"/>
              <w:rPr>
                <w:b/>
                <w:color w:val="FFFFFF" w:themeColor="background1"/>
                <w:sz w:val="16"/>
                <w:szCs w:val="16"/>
              </w:rPr>
            </w:pPr>
            <w:r>
              <w:rPr>
                <w:b/>
                <w:color w:val="FFFFFF" w:themeColor="background1"/>
                <w:sz w:val="16"/>
                <w:szCs w:val="16"/>
              </w:rPr>
              <w:t>Keskmine hind</w:t>
            </w:r>
          </w:p>
        </w:tc>
        <w:tc>
          <w:tcPr>
            <w:tcW w:w="991" w:type="dxa"/>
            <w:shd w:val="clear" w:color="auto" w:fill="007087"/>
            <w:vAlign w:val="center"/>
          </w:tcPr>
          <w:p w14:paraId="1C055B6E" w14:textId="6715761B" w:rsidR="00176304" w:rsidRPr="00D231C5" w:rsidRDefault="00176304" w:rsidP="00BD5398">
            <w:pPr>
              <w:pStyle w:val="NoSpacing"/>
              <w:spacing w:before="60" w:after="60"/>
              <w:jc w:val="center"/>
              <w:rPr>
                <w:b/>
                <w:color w:val="FFFFFF" w:themeColor="background1"/>
                <w:sz w:val="16"/>
                <w:szCs w:val="16"/>
              </w:rPr>
            </w:pPr>
            <w:r>
              <w:rPr>
                <w:b/>
                <w:color w:val="FFFFFF" w:themeColor="background1"/>
                <w:sz w:val="16"/>
                <w:szCs w:val="16"/>
              </w:rPr>
              <w:t>Max tunnihind</w:t>
            </w:r>
          </w:p>
        </w:tc>
        <w:tc>
          <w:tcPr>
            <w:tcW w:w="991" w:type="dxa"/>
            <w:shd w:val="clear" w:color="auto" w:fill="007087"/>
          </w:tcPr>
          <w:p w14:paraId="21925E05" w14:textId="3D60E8E3" w:rsidR="00176304" w:rsidRPr="00D231C5" w:rsidRDefault="00176304" w:rsidP="00BD5398">
            <w:pPr>
              <w:pStyle w:val="NoSpacing"/>
              <w:spacing w:before="60" w:after="60"/>
              <w:jc w:val="center"/>
              <w:rPr>
                <w:b/>
                <w:color w:val="FFFFFF" w:themeColor="background1"/>
                <w:sz w:val="16"/>
                <w:szCs w:val="16"/>
              </w:rPr>
            </w:pPr>
            <w:r>
              <w:rPr>
                <w:b/>
                <w:color w:val="FFFFFF" w:themeColor="background1"/>
                <w:sz w:val="16"/>
                <w:szCs w:val="16"/>
              </w:rPr>
              <w:t>Min tunnihind</w:t>
            </w:r>
          </w:p>
        </w:tc>
      </w:tr>
      <w:tr w:rsidR="00176304" w:rsidRPr="00D231C5" w14:paraId="6259BA7D" w14:textId="072DB9D1" w:rsidTr="00CE2007">
        <w:tc>
          <w:tcPr>
            <w:tcW w:w="1701" w:type="dxa"/>
            <w:vAlign w:val="center"/>
          </w:tcPr>
          <w:p w14:paraId="250949DC" w14:textId="478FD335" w:rsidR="00176304" w:rsidRPr="00D231C5" w:rsidRDefault="00176304" w:rsidP="0014591B">
            <w:pPr>
              <w:pStyle w:val="NoSpacing"/>
              <w:spacing w:before="60" w:after="60"/>
              <w:jc w:val="left"/>
              <w:rPr>
                <w:sz w:val="16"/>
                <w:szCs w:val="16"/>
              </w:rPr>
            </w:pPr>
            <w:r>
              <w:rPr>
                <w:sz w:val="16"/>
                <w:szCs w:val="16"/>
              </w:rPr>
              <w:t>NP Süsteem</w:t>
            </w:r>
          </w:p>
        </w:tc>
        <w:tc>
          <w:tcPr>
            <w:tcW w:w="990" w:type="dxa"/>
            <w:vAlign w:val="center"/>
          </w:tcPr>
          <w:p w14:paraId="70633BC9" w14:textId="7FDEBF3D" w:rsidR="00176304" w:rsidRPr="00D231C5" w:rsidRDefault="004D247C" w:rsidP="00176304">
            <w:pPr>
              <w:pStyle w:val="NoSpacing"/>
              <w:spacing w:before="60" w:after="60"/>
              <w:jc w:val="center"/>
              <w:rPr>
                <w:sz w:val="16"/>
                <w:szCs w:val="16"/>
              </w:rPr>
            </w:pPr>
            <w:r>
              <w:rPr>
                <w:sz w:val="16"/>
                <w:szCs w:val="16"/>
              </w:rPr>
              <w:t>29,85</w:t>
            </w:r>
          </w:p>
        </w:tc>
        <w:tc>
          <w:tcPr>
            <w:tcW w:w="991" w:type="dxa"/>
            <w:vAlign w:val="center"/>
          </w:tcPr>
          <w:p w14:paraId="29F97712" w14:textId="1536CE9B" w:rsidR="00176304" w:rsidRPr="00D231C5" w:rsidRDefault="004D247C" w:rsidP="00BD5398">
            <w:pPr>
              <w:pStyle w:val="NoSpacing"/>
              <w:spacing w:before="60" w:after="60"/>
              <w:jc w:val="center"/>
              <w:rPr>
                <w:sz w:val="16"/>
                <w:szCs w:val="16"/>
              </w:rPr>
            </w:pPr>
            <w:r>
              <w:rPr>
                <w:sz w:val="16"/>
                <w:szCs w:val="16"/>
              </w:rPr>
              <w:t>199,97</w:t>
            </w:r>
          </w:p>
        </w:tc>
        <w:tc>
          <w:tcPr>
            <w:tcW w:w="991" w:type="dxa"/>
          </w:tcPr>
          <w:p w14:paraId="003E2BCB" w14:textId="1F5B862A" w:rsidR="00176304" w:rsidRDefault="004D247C" w:rsidP="00BD5398">
            <w:pPr>
              <w:pStyle w:val="NoSpacing"/>
              <w:spacing w:before="60" w:after="60"/>
              <w:jc w:val="center"/>
              <w:rPr>
                <w:sz w:val="16"/>
                <w:szCs w:val="16"/>
              </w:rPr>
            </w:pPr>
            <w:r>
              <w:rPr>
                <w:sz w:val="16"/>
                <w:szCs w:val="16"/>
              </w:rPr>
              <w:t>10,69</w:t>
            </w:r>
          </w:p>
        </w:tc>
      </w:tr>
      <w:tr w:rsidR="00176304" w:rsidRPr="00D231C5" w14:paraId="4B67686C" w14:textId="6C22CC4E" w:rsidTr="00CE2007">
        <w:tc>
          <w:tcPr>
            <w:tcW w:w="1701" w:type="dxa"/>
            <w:vAlign w:val="center"/>
          </w:tcPr>
          <w:p w14:paraId="27543C28" w14:textId="73A673E3" w:rsidR="00176304" w:rsidRPr="00D231C5" w:rsidRDefault="00176304" w:rsidP="0014591B">
            <w:pPr>
              <w:pStyle w:val="NoSpacing"/>
              <w:spacing w:before="60" w:after="60"/>
              <w:jc w:val="left"/>
              <w:rPr>
                <w:sz w:val="16"/>
                <w:szCs w:val="16"/>
              </w:rPr>
            </w:pPr>
            <w:r>
              <w:rPr>
                <w:sz w:val="16"/>
                <w:szCs w:val="16"/>
              </w:rPr>
              <w:t>NP Soome</w:t>
            </w:r>
          </w:p>
        </w:tc>
        <w:tc>
          <w:tcPr>
            <w:tcW w:w="990" w:type="dxa"/>
            <w:vAlign w:val="center"/>
          </w:tcPr>
          <w:p w14:paraId="65948FD7" w14:textId="72A0BF83" w:rsidR="00176304" w:rsidRPr="00D231C5" w:rsidRDefault="004D247C" w:rsidP="00BD5398">
            <w:pPr>
              <w:pStyle w:val="NoSpacing"/>
              <w:spacing w:before="60" w:after="60"/>
              <w:jc w:val="center"/>
              <w:rPr>
                <w:sz w:val="16"/>
                <w:szCs w:val="16"/>
              </w:rPr>
            </w:pPr>
            <w:r>
              <w:rPr>
                <w:sz w:val="16"/>
                <w:szCs w:val="16"/>
              </w:rPr>
              <w:t>37,83</w:t>
            </w:r>
          </w:p>
        </w:tc>
        <w:tc>
          <w:tcPr>
            <w:tcW w:w="991" w:type="dxa"/>
            <w:vAlign w:val="center"/>
          </w:tcPr>
          <w:p w14:paraId="0F5F059F" w14:textId="1BDFEF11" w:rsidR="00176304" w:rsidRPr="00D231C5" w:rsidRDefault="004D247C" w:rsidP="00BD5398">
            <w:pPr>
              <w:pStyle w:val="NoSpacing"/>
              <w:spacing w:before="60" w:after="60"/>
              <w:jc w:val="center"/>
              <w:rPr>
                <w:sz w:val="16"/>
                <w:szCs w:val="16"/>
              </w:rPr>
            </w:pPr>
            <w:r>
              <w:rPr>
                <w:sz w:val="16"/>
                <w:szCs w:val="16"/>
              </w:rPr>
              <w:t>214,25</w:t>
            </w:r>
          </w:p>
        </w:tc>
        <w:tc>
          <w:tcPr>
            <w:tcW w:w="991" w:type="dxa"/>
          </w:tcPr>
          <w:p w14:paraId="0E04CA12" w14:textId="78E316FF" w:rsidR="00176304" w:rsidRDefault="004D247C" w:rsidP="00BD5398">
            <w:pPr>
              <w:pStyle w:val="NoSpacing"/>
              <w:spacing w:before="60" w:after="60"/>
              <w:jc w:val="center"/>
              <w:rPr>
                <w:sz w:val="16"/>
                <w:szCs w:val="16"/>
              </w:rPr>
            </w:pPr>
            <w:r>
              <w:rPr>
                <w:sz w:val="16"/>
                <w:szCs w:val="16"/>
              </w:rPr>
              <w:t>4,69</w:t>
            </w:r>
          </w:p>
        </w:tc>
      </w:tr>
      <w:tr w:rsidR="00176304" w:rsidRPr="00D231C5" w14:paraId="3A099B34" w14:textId="68C8CE75" w:rsidTr="00CE2007">
        <w:tc>
          <w:tcPr>
            <w:tcW w:w="1701" w:type="dxa"/>
            <w:vAlign w:val="center"/>
          </w:tcPr>
          <w:p w14:paraId="591DD1E5" w14:textId="53B8D149" w:rsidR="00176304" w:rsidRPr="00D231C5" w:rsidRDefault="00176304" w:rsidP="0014591B">
            <w:pPr>
              <w:pStyle w:val="NoSpacing"/>
              <w:spacing w:before="60" w:after="60"/>
              <w:jc w:val="left"/>
              <w:rPr>
                <w:sz w:val="16"/>
                <w:szCs w:val="16"/>
              </w:rPr>
            </w:pPr>
            <w:r>
              <w:rPr>
                <w:sz w:val="16"/>
                <w:szCs w:val="16"/>
              </w:rPr>
              <w:t>NP Eesti</w:t>
            </w:r>
          </w:p>
        </w:tc>
        <w:tc>
          <w:tcPr>
            <w:tcW w:w="990" w:type="dxa"/>
            <w:vAlign w:val="center"/>
          </w:tcPr>
          <w:p w14:paraId="680A3626" w14:textId="3AF61AD7" w:rsidR="00176304" w:rsidRPr="00D231C5" w:rsidRDefault="004D247C" w:rsidP="00176304">
            <w:pPr>
              <w:pStyle w:val="NoSpacing"/>
              <w:spacing w:before="60" w:after="60"/>
              <w:jc w:val="center"/>
              <w:rPr>
                <w:sz w:val="16"/>
                <w:szCs w:val="16"/>
              </w:rPr>
            </w:pPr>
            <w:r>
              <w:rPr>
                <w:sz w:val="16"/>
                <w:szCs w:val="16"/>
              </w:rPr>
              <w:t>37,63</w:t>
            </w:r>
          </w:p>
        </w:tc>
        <w:tc>
          <w:tcPr>
            <w:tcW w:w="991" w:type="dxa"/>
            <w:vAlign w:val="center"/>
          </w:tcPr>
          <w:p w14:paraId="6ACC4896" w14:textId="0E707AA8" w:rsidR="00176304" w:rsidRPr="00D231C5" w:rsidRDefault="004D247C" w:rsidP="00BD5398">
            <w:pPr>
              <w:pStyle w:val="NoSpacing"/>
              <w:spacing w:before="60" w:after="60"/>
              <w:jc w:val="center"/>
              <w:rPr>
                <w:sz w:val="16"/>
                <w:szCs w:val="16"/>
              </w:rPr>
            </w:pPr>
            <w:r>
              <w:rPr>
                <w:sz w:val="16"/>
                <w:szCs w:val="16"/>
              </w:rPr>
              <w:t>200,06</w:t>
            </w:r>
          </w:p>
        </w:tc>
        <w:tc>
          <w:tcPr>
            <w:tcW w:w="991" w:type="dxa"/>
          </w:tcPr>
          <w:p w14:paraId="7AA54800" w14:textId="0C1E3CA0" w:rsidR="00AC7ECF" w:rsidRDefault="004D247C" w:rsidP="00AC7ECF">
            <w:pPr>
              <w:pStyle w:val="NoSpacing"/>
              <w:spacing w:before="60" w:after="60"/>
              <w:jc w:val="center"/>
              <w:rPr>
                <w:sz w:val="16"/>
                <w:szCs w:val="16"/>
              </w:rPr>
            </w:pPr>
            <w:r>
              <w:rPr>
                <w:sz w:val="16"/>
                <w:szCs w:val="16"/>
              </w:rPr>
              <w:t>4,69</w:t>
            </w:r>
          </w:p>
        </w:tc>
      </w:tr>
      <w:tr w:rsidR="00176304" w:rsidRPr="00D231C5" w14:paraId="2E5FEF53" w14:textId="31C81E9D" w:rsidTr="00CE2007">
        <w:tc>
          <w:tcPr>
            <w:tcW w:w="1701" w:type="dxa"/>
            <w:vAlign w:val="center"/>
          </w:tcPr>
          <w:p w14:paraId="1D93E559" w14:textId="7441C73E" w:rsidR="00176304" w:rsidRDefault="00176304" w:rsidP="0014591B">
            <w:pPr>
              <w:pStyle w:val="NoSpacing"/>
              <w:spacing w:before="60" w:after="60"/>
              <w:jc w:val="left"/>
              <w:rPr>
                <w:sz w:val="16"/>
                <w:szCs w:val="16"/>
              </w:rPr>
            </w:pPr>
            <w:r>
              <w:rPr>
                <w:sz w:val="16"/>
                <w:szCs w:val="16"/>
              </w:rPr>
              <w:t>NP Läti</w:t>
            </w:r>
          </w:p>
        </w:tc>
        <w:tc>
          <w:tcPr>
            <w:tcW w:w="990" w:type="dxa"/>
            <w:vAlign w:val="center"/>
          </w:tcPr>
          <w:p w14:paraId="4DD2376F" w14:textId="7F088570" w:rsidR="00176304" w:rsidRPr="00D231C5" w:rsidRDefault="004D247C" w:rsidP="00176304">
            <w:pPr>
              <w:pStyle w:val="NoSpacing"/>
              <w:spacing w:before="60" w:after="60"/>
              <w:jc w:val="center"/>
              <w:rPr>
                <w:sz w:val="16"/>
                <w:szCs w:val="16"/>
              </w:rPr>
            </w:pPr>
            <w:r>
              <w:rPr>
                <w:sz w:val="16"/>
                <w:szCs w:val="16"/>
              </w:rPr>
              <w:t>50,01</w:t>
            </w:r>
          </w:p>
        </w:tc>
        <w:tc>
          <w:tcPr>
            <w:tcW w:w="991" w:type="dxa"/>
            <w:vAlign w:val="center"/>
          </w:tcPr>
          <w:p w14:paraId="14A58EB2" w14:textId="6B5F6BA5" w:rsidR="00176304" w:rsidRPr="00D231C5" w:rsidRDefault="004D247C" w:rsidP="00BD5398">
            <w:pPr>
              <w:pStyle w:val="NoSpacing"/>
              <w:spacing w:before="60" w:after="60"/>
              <w:jc w:val="center"/>
              <w:rPr>
                <w:sz w:val="16"/>
                <w:szCs w:val="16"/>
              </w:rPr>
            </w:pPr>
            <w:r>
              <w:rPr>
                <w:sz w:val="16"/>
                <w:szCs w:val="16"/>
              </w:rPr>
              <w:t>200,06</w:t>
            </w:r>
          </w:p>
        </w:tc>
        <w:tc>
          <w:tcPr>
            <w:tcW w:w="991" w:type="dxa"/>
          </w:tcPr>
          <w:p w14:paraId="654B3530" w14:textId="214AEBDF" w:rsidR="00176304" w:rsidRDefault="004D247C" w:rsidP="00BD5398">
            <w:pPr>
              <w:pStyle w:val="NoSpacing"/>
              <w:spacing w:before="60" w:after="60"/>
              <w:jc w:val="center"/>
              <w:rPr>
                <w:sz w:val="16"/>
                <w:szCs w:val="16"/>
              </w:rPr>
            </w:pPr>
            <w:r>
              <w:rPr>
                <w:sz w:val="16"/>
                <w:szCs w:val="16"/>
              </w:rPr>
              <w:t>15,36</w:t>
            </w:r>
          </w:p>
        </w:tc>
      </w:tr>
      <w:tr w:rsidR="00176304" w:rsidRPr="00D231C5" w14:paraId="7D96D652" w14:textId="77777777" w:rsidTr="00CE2007">
        <w:tc>
          <w:tcPr>
            <w:tcW w:w="1701" w:type="dxa"/>
            <w:vAlign w:val="center"/>
          </w:tcPr>
          <w:p w14:paraId="515903AB" w14:textId="1A857AAE" w:rsidR="00176304" w:rsidRDefault="00176304" w:rsidP="0014591B">
            <w:pPr>
              <w:pStyle w:val="NoSpacing"/>
              <w:spacing w:before="60" w:after="60"/>
              <w:jc w:val="left"/>
              <w:rPr>
                <w:sz w:val="16"/>
                <w:szCs w:val="16"/>
              </w:rPr>
            </w:pPr>
            <w:r>
              <w:rPr>
                <w:sz w:val="16"/>
                <w:szCs w:val="16"/>
              </w:rPr>
              <w:t>NP Leedu</w:t>
            </w:r>
          </w:p>
        </w:tc>
        <w:tc>
          <w:tcPr>
            <w:tcW w:w="990" w:type="dxa"/>
            <w:vAlign w:val="center"/>
          </w:tcPr>
          <w:p w14:paraId="5EEE9EF8" w14:textId="04F40630" w:rsidR="00176304" w:rsidRDefault="004D247C" w:rsidP="00BD5398">
            <w:pPr>
              <w:pStyle w:val="NoSpacing"/>
              <w:spacing w:before="60" w:after="60"/>
              <w:jc w:val="center"/>
              <w:rPr>
                <w:sz w:val="16"/>
                <w:szCs w:val="16"/>
              </w:rPr>
            </w:pPr>
            <w:r>
              <w:rPr>
                <w:sz w:val="16"/>
                <w:szCs w:val="16"/>
              </w:rPr>
              <w:t>50,32</w:t>
            </w:r>
          </w:p>
        </w:tc>
        <w:tc>
          <w:tcPr>
            <w:tcW w:w="991" w:type="dxa"/>
            <w:vAlign w:val="center"/>
          </w:tcPr>
          <w:p w14:paraId="035586DC" w14:textId="46B177BA" w:rsidR="00176304" w:rsidRDefault="004D247C" w:rsidP="00BD5398">
            <w:pPr>
              <w:pStyle w:val="NoSpacing"/>
              <w:spacing w:before="60" w:after="60"/>
              <w:jc w:val="center"/>
              <w:rPr>
                <w:sz w:val="16"/>
                <w:szCs w:val="16"/>
              </w:rPr>
            </w:pPr>
            <w:r>
              <w:rPr>
                <w:sz w:val="16"/>
                <w:szCs w:val="16"/>
              </w:rPr>
              <w:t>200,06</w:t>
            </w:r>
          </w:p>
        </w:tc>
        <w:tc>
          <w:tcPr>
            <w:tcW w:w="991" w:type="dxa"/>
          </w:tcPr>
          <w:p w14:paraId="03235595" w14:textId="5247808F" w:rsidR="00176304" w:rsidRDefault="004D247C" w:rsidP="00BD5398">
            <w:pPr>
              <w:pStyle w:val="NoSpacing"/>
              <w:spacing w:before="60" w:after="60"/>
              <w:jc w:val="center"/>
              <w:rPr>
                <w:sz w:val="16"/>
                <w:szCs w:val="16"/>
              </w:rPr>
            </w:pPr>
            <w:r>
              <w:rPr>
                <w:sz w:val="16"/>
                <w:szCs w:val="16"/>
              </w:rPr>
              <w:t>15,36</w:t>
            </w:r>
          </w:p>
        </w:tc>
      </w:tr>
    </w:tbl>
    <w:p w14:paraId="4FE3B46A" w14:textId="77777777" w:rsidR="00176304" w:rsidRDefault="00176304" w:rsidP="0022344D"/>
    <w:p w14:paraId="6D8D1495" w14:textId="1D0DD651" w:rsidR="00176304" w:rsidRDefault="004D247C" w:rsidP="0022344D">
      <w:r>
        <w:t>Jaanuari</w:t>
      </w:r>
      <w:r w:rsidR="0014591B">
        <w:t xml:space="preserve"> N</w:t>
      </w:r>
      <w:r>
        <w:t xml:space="preserve">ord </w:t>
      </w:r>
      <w:r w:rsidR="0014591B">
        <w:t>P</w:t>
      </w:r>
      <w:r>
        <w:t>ool</w:t>
      </w:r>
      <w:r w:rsidR="00176304" w:rsidRPr="00176304">
        <w:t xml:space="preserve"> Eesti hinnapiirkonna tunnihinnad </w:t>
      </w:r>
      <w:r w:rsidR="00AC7ECF">
        <w:t xml:space="preserve">olid </w:t>
      </w:r>
      <w:r>
        <w:t>eelnevate kuudega võrreldes volatiilsemad:</w:t>
      </w:r>
      <w:r w:rsidR="006024ED">
        <w:t xml:space="preserve"> </w:t>
      </w:r>
      <w:r>
        <w:t>32</w:t>
      </w:r>
      <w:r w:rsidR="00176304" w:rsidRPr="00176304">
        <w:t>% ajast</w:t>
      </w:r>
      <w:r w:rsidR="006024ED">
        <w:t xml:space="preserve"> jäid hinnad</w:t>
      </w:r>
      <w:r w:rsidR="00176304" w:rsidRPr="00176304">
        <w:t xml:space="preserve"> alla 25 €/MWh</w:t>
      </w:r>
      <w:r w:rsidR="006024ED">
        <w:t>, s</w:t>
      </w:r>
      <w:r w:rsidR="00176304" w:rsidRPr="00176304">
        <w:t>uurim päevasisene hindade erinevus esines 2</w:t>
      </w:r>
      <w:r w:rsidR="006024ED">
        <w:t>1</w:t>
      </w:r>
      <w:r w:rsidR="00176304" w:rsidRPr="00176304">
        <w:t xml:space="preserve">. </w:t>
      </w:r>
      <w:r>
        <w:t>jaanua</w:t>
      </w:r>
      <w:r w:rsidR="00176304" w:rsidRPr="00176304">
        <w:t xml:space="preserve">ril, mil päeva miinimum- ja maksimumhind erinesid </w:t>
      </w:r>
      <w:r>
        <w:t>173,41</w:t>
      </w:r>
      <w:r w:rsidR="00176304" w:rsidRPr="00176304">
        <w:t xml:space="preserve"> euro võrra MWh kohta (</w:t>
      </w:r>
      <w:r>
        <w:t>dets</w:t>
      </w:r>
      <w:r w:rsidR="006024ED">
        <w:t>em</w:t>
      </w:r>
      <w:r w:rsidR="00176304" w:rsidRPr="00176304">
        <w:t xml:space="preserve">bris </w:t>
      </w:r>
      <w:r w:rsidR="00176304">
        <w:t>oli suurim tunni</w:t>
      </w:r>
      <w:r w:rsidR="00176304" w:rsidRPr="00176304">
        <w:t xml:space="preserve">hindade erinevus </w:t>
      </w:r>
      <w:r>
        <w:t xml:space="preserve">vaid 46,04 </w:t>
      </w:r>
      <w:r w:rsidR="00176304" w:rsidRPr="00176304">
        <w:t>€/MWh).</w:t>
      </w:r>
    </w:p>
    <w:p w14:paraId="37570B6D" w14:textId="77777777" w:rsidR="00176304" w:rsidRDefault="00176304" w:rsidP="0022344D"/>
    <w:p w14:paraId="585B7C4F" w14:textId="146A202F" w:rsidR="00176304" w:rsidRDefault="004D247C" w:rsidP="00BA7A51">
      <w:pPr>
        <w:spacing w:after="40"/>
      </w:pPr>
      <w:r>
        <w:rPr>
          <w:noProof/>
        </w:rPr>
        <w:lastRenderedPageBreak/>
        <w:drawing>
          <wp:inline distT="0" distB="0" distL="0" distR="0" wp14:anchorId="3ED6E286" wp14:editId="28104D16">
            <wp:extent cx="2971800" cy="167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14:paraId="7A9D3D1E" w14:textId="69B995A2" w:rsidR="009215A9" w:rsidRPr="0055665C" w:rsidRDefault="0055665C" w:rsidP="0022344D">
      <w:pPr>
        <w:rPr>
          <w:rStyle w:val="SubtleEmphasis"/>
        </w:rPr>
      </w:pPr>
      <w:r w:rsidRPr="0055665C">
        <w:rPr>
          <w:rStyle w:val="SubtleEmphasis"/>
        </w:rPr>
        <w:t>N</w:t>
      </w:r>
      <w:r w:rsidR="004D247C">
        <w:rPr>
          <w:rStyle w:val="SubtleEmphasis"/>
        </w:rPr>
        <w:t xml:space="preserve">ord </w:t>
      </w:r>
      <w:r w:rsidRPr="0055665C">
        <w:rPr>
          <w:rStyle w:val="SubtleEmphasis"/>
        </w:rPr>
        <w:t>P</w:t>
      </w:r>
      <w:r w:rsidR="004D247C">
        <w:rPr>
          <w:rStyle w:val="SubtleEmphasis"/>
        </w:rPr>
        <w:t>ool</w:t>
      </w:r>
      <w:r w:rsidRPr="0055665C">
        <w:rPr>
          <w:rStyle w:val="SubtleEmphasis"/>
        </w:rPr>
        <w:t xml:space="preserve"> Eesti hinnapiirk</w:t>
      </w:r>
      <w:r>
        <w:rPr>
          <w:rStyle w:val="SubtleEmphasis"/>
        </w:rPr>
        <w:t xml:space="preserve">onna hindade volatiilsus </w:t>
      </w:r>
      <w:r w:rsidR="004D247C">
        <w:rPr>
          <w:rStyle w:val="SubtleEmphasis"/>
        </w:rPr>
        <w:t>jaanua</w:t>
      </w:r>
      <w:r w:rsidRPr="0055665C">
        <w:rPr>
          <w:rStyle w:val="SubtleEmphasis"/>
        </w:rPr>
        <w:t>ris</w:t>
      </w:r>
      <w:r>
        <w:rPr>
          <w:rStyle w:val="SubtleEmphasis"/>
        </w:rPr>
        <w:t xml:space="preserve"> 201</w:t>
      </w:r>
      <w:r w:rsidR="004D247C">
        <w:rPr>
          <w:rStyle w:val="SubtleEmphasis"/>
        </w:rPr>
        <w:t>6</w:t>
      </w:r>
    </w:p>
    <w:p w14:paraId="274231E3" w14:textId="77777777" w:rsidR="0055665C" w:rsidRDefault="0055665C" w:rsidP="0022344D"/>
    <w:p w14:paraId="279F1E46" w14:textId="2E4FD197" w:rsidR="00176304" w:rsidRDefault="0055665C" w:rsidP="00176304">
      <w:pPr>
        <w:pStyle w:val="Heading2"/>
      </w:pPr>
      <w:r>
        <w:t>Võimsusvoog</w:t>
      </w:r>
    </w:p>
    <w:p w14:paraId="39EC983F" w14:textId="449975B0" w:rsidR="00BD5398" w:rsidRPr="00BD5398" w:rsidRDefault="00BD5398" w:rsidP="00176304">
      <w:pPr>
        <w:rPr>
          <w:b/>
          <w:color w:val="007087"/>
          <w:sz w:val="20"/>
          <w:szCs w:val="22"/>
        </w:rPr>
      </w:pPr>
      <w:r w:rsidRPr="00BD5398">
        <w:rPr>
          <w:b/>
          <w:color w:val="007087"/>
          <w:sz w:val="20"/>
          <w:szCs w:val="22"/>
        </w:rPr>
        <w:t>Eesti-Soome</w:t>
      </w:r>
    </w:p>
    <w:p w14:paraId="63085F82" w14:textId="79C510CF" w:rsidR="00F607C3" w:rsidRDefault="00F51163" w:rsidP="00176304">
      <w:r w:rsidRPr="00F51163">
        <w:t xml:space="preserve">Päev-ette Eesti ja Soome vaheline võimsusvoog oli </w:t>
      </w:r>
      <w:r w:rsidR="00102C7E">
        <w:t>595</w:t>
      </w:r>
      <w:r w:rsidRPr="00F51163">
        <w:t xml:space="preserve"> tunnil suunatud Soomest Eestisse ja  </w:t>
      </w:r>
      <w:r w:rsidR="00102C7E">
        <w:t>149</w:t>
      </w:r>
      <w:r w:rsidRPr="00F51163">
        <w:t xml:space="preserve"> tunnil suunaga Eestist Soome (</w:t>
      </w:r>
      <w:r w:rsidR="00102C7E">
        <w:t>dets</w:t>
      </w:r>
      <w:r>
        <w:t>embris</w:t>
      </w:r>
      <w:r w:rsidRPr="00F51163">
        <w:t xml:space="preserve"> vastavalt 7</w:t>
      </w:r>
      <w:r w:rsidR="00102C7E">
        <w:t>2</w:t>
      </w:r>
      <w:r w:rsidRPr="00F51163">
        <w:t xml:space="preserve">4 ja </w:t>
      </w:r>
      <w:r w:rsidR="00102C7E">
        <w:t>20</w:t>
      </w:r>
      <w:r w:rsidRPr="00F51163">
        <w:t xml:space="preserve"> tunnil). Üle</w:t>
      </w:r>
      <w:r w:rsidR="006F5F2B">
        <w:softHyphen/>
      </w:r>
      <w:r w:rsidRPr="00F51163">
        <w:t xml:space="preserve">kandevõimsus </w:t>
      </w:r>
      <w:r w:rsidR="00F607C3">
        <w:t xml:space="preserve">suunal Soome-Eesti </w:t>
      </w:r>
      <w:r w:rsidRPr="00F51163">
        <w:t xml:space="preserve">oli maksimaalses ulatuses koormatud </w:t>
      </w:r>
      <w:r w:rsidR="00102C7E">
        <w:t>kolmel</w:t>
      </w:r>
      <w:r w:rsidRPr="00F51163">
        <w:t xml:space="preserve"> tunnil (</w:t>
      </w:r>
      <w:r w:rsidR="00102C7E">
        <w:t>dets</w:t>
      </w:r>
      <w:r>
        <w:t>em</w:t>
      </w:r>
      <w:r w:rsidRPr="00F51163">
        <w:t xml:space="preserve">bris </w:t>
      </w:r>
      <w:r w:rsidR="00102C7E">
        <w:t>17</w:t>
      </w:r>
      <w:r w:rsidR="00F607C3">
        <w:t xml:space="preserve"> tunnil)</w:t>
      </w:r>
      <w:r w:rsidR="00102C7E">
        <w:t xml:space="preserve"> ning Eesti-Soome suunal viiel tunnil (detsembris </w:t>
      </w:r>
      <w:r w:rsidR="009E72C2">
        <w:t xml:space="preserve">selliseid </w:t>
      </w:r>
      <w:r w:rsidR="00102C7E">
        <w:t>tun</w:t>
      </w:r>
      <w:r w:rsidR="009E72C2">
        <w:t>de ei esinenud</w:t>
      </w:r>
      <w:r w:rsidR="00102C7E">
        <w:t>)</w:t>
      </w:r>
      <w:r w:rsidR="009E72C2">
        <w:t xml:space="preserve">. </w:t>
      </w:r>
      <w:r w:rsidR="00F607C3">
        <w:t xml:space="preserve">Päevasiseste tehingute tulemusena </w:t>
      </w:r>
      <w:r w:rsidR="000E31EA">
        <w:t xml:space="preserve">suurenes </w:t>
      </w:r>
      <w:r w:rsidR="00F607C3">
        <w:t xml:space="preserve">pudelikael suunal Soome-Eesti </w:t>
      </w:r>
      <w:r w:rsidR="002B4BFE">
        <w:t xml:space="preserve">ühe tunni võrra (kolmeni) </w:t>
      </w:r>
      <w:r w:rsidR="00F607C3">
        <w:t xml:space="preserve">ja suunal Eesti-Soome </w:t>
      </w:r>
      <w:r w:rsidR="002B4BFE">
        <w:t xml:space="preserve">vähenes </w:t>
      </w:r>
      <w:r w:rsidR="00F607C3">
        <w:t>kahel</w:t>
      </w:r>
      <w:r w:rsidR="002B4BFE">
        <w:t>e</w:t>
      </w:r>
      <w:r w:rsidR="00F607C3">
        <w:t xml:space="preserve"> tunnil</w:t>
      </w:r>
      <w:r w:rsidR="002B4BFE">
        <w:t>e</w:t>
      </w:r>
      <w:r w:rsidR="00F607C3">
        <w:t xml:space="preserve">. </w:t>
      </w:r>
      <w:r w:rsidR="002B4BFE">
        <w:t xml:space="preserve">Mõlema suuna puhul esines </w:t>
      </w:r>
      <w:r w:rsidR="00F607C3">
        <w:t>üle</w:t>
      </w:r>
      <w:r w:rsidR="006F5F2B">
        <w:softHyphen/>
      </w:r>
      <w:r w:rsidR="00F607C3">
        <w:t>kandevõimsuse puudujää</w:t>
      </w:r>
      <w:r w:rsidR="002B4BFE">
        <w:t>k</w:t>
      </w:r>
      <w:r w:rsidR="00F607C3">
        <w:t xml:space="preserve"> </w:t>
      </w:r>
      <w:r w:rsidR="002B4BFE">
        <w:t>ka kahel tunnil</w:t>
      </w:r>
      <w:r w:rsidR="00F607C3" w:rsidRPr="00F51163">
        <w:t xml:space="preserve">, mil </w:t>
      </w:r>
      <w:r w:rsidR="002B4BFE">
        <w:t>ühendustel ei olnud piiranguid</w:t>
      </w:r>
      <w:r w:rsidR="00F607C3" w:rsidRPr="00F51163">
        <w:t>.</w:t>
      </w:r>
    </w:p>
    <w:p w14:paraId="1421AA57" w14:textId="77777777" w:rsidR="00F607C3" w:rsidRDefault="00F607C3" w:rsidP="00176304"/>
    <w:p w14:paraId="404D6AEE" w14:textId="70DA2F32" w:rsidR="00F51163" w:rsidRDefault="002B4BFE" w:rsidP="00176304">
      <w:r>
        <w:t>14</w:t>
      </w:r>
      <w:r w:rsidR="00F51163" w:rsidRPr="00F51163">
        <w:t xml:space="preserve"> tunnil esines ka nn. alalisvooluühenduste rampimise p</w:t>
      </w:r>
      <w:r w:rsidR="00F51163">
        <w:t>iirang</w:t>
      </w:r>
      <w:r w:rsidR="00F51163" w:rsidRPr="00F51163">
        <w:t xml:space="preserve"> (</w:t>
      </w:r>
      <w:r>
        <w:t>dets</w:t>
      </w:r>
      <w:r w:rsidR="00F51163">
        <w:t xml:space="preserve">embris </w:t>
      </w:r>
      <w:r>
        <w:t>ühel tunnil</w:t>
      </w:r>
      <w:r w:rsidR="00F51163" w:rsidRPr="00F51163">
        <w:t>). Rampimise piirang tähendab, et kõiki turutehinguid ei olnud võimalik täita, sest võimsusvoog EstLinkidel ei tohi muutu</w:t>
      </w:r>
      <w:r w:rsidR="006F5F2B">
        <w:softHyphen/>
      </w:r>
      <w:r w:rsidR="00F51163" w:rsidRPr="00F51163">
        <w:t>da üle 600 MW tunnis. Tegemist ei ole EstLinkidest tingitud tehnilise piiranguga, vaid eelpool mainitud piirang on vajalik Põhjamaade sünkroonala elektri</w:t>
      </w:r>
      <w:r w:rsidR="00354CE0">
        <w:softHyphen/>
      </w:r>
      <w:r w:rsidR="00F51163" w:rsidRPr="00F51163">
        <w:t>süsteemide töökindla talitluse tagamiseks.</w:t>
      </w:r>
    </w:p>
    <w:p w14:paraId="5A5CDD79" w14:textId="77777777" w:rsidR="00F607C3" w:rsidRDefault="00F607C3" w:rsidP="00176304"/>
    <w:p w14:paraId="37A961CB" w14:textId="2ABD7376" w:rsidR="00F607C3" w:rsidRDefault="003B28B1" w:rsidP="00BA7A51">
      <w:pPr>
        <w:spacing w:after="40"/>
      </w:pPr>
      <w:r>
        <w:rPr>
          <w:noProof/>
        </w:rPr>
        <w:drawing>
          <wp:inline distT="0" distB="0" distL="0" distR="0" wp14:anchorId="2129EAEC" wp14:editId="3A780DFD">
            <wp:extent cx="2971800" cy="1781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103C9A03" w14:textId="78757FB6" w:rsidR="00F607C3" w:rsidRDefault="00F607C3" w:rsidP="00176304">
      <w:r>
        <w:rPr>
          <w:rStyle w:val="SubtleEmphasis"/>
        </w:rPr>
        <w:t xml:space="preserve">NP Eesti ja </w:t>
      </w:r>
      <w:r w:rsidR="006F5F2B">
        <w:rPr>
          <w:rStyle w:val="SubtleEmphasis"/>
        </w:rPr>
        <w:t xml:space="preserve">NP </w:t>
      </w:r>
      <w:r>
        <w:rPr>
          <w:rStyle w:val="SubtleEmphasis"/>
        </w:rPr>
        <w:t>Soome vahelised võimsusvood 2015. a detsembris</w:t>
      </w:r>
    </w:p>
    <w:p w14:paraId="3CB58FC3" w14:textId="77777777" w:rsidR="00F607C3" w:rsidRDefault="00F607C3" w:rsidP="00176304"/>
    <w:p w14:paraId="1C58EDDB" w14:textId="7AFAC477" w:rsidR="00F607C3" w:rsidRDefault="006F5F2B" w:rsidP="00176304">
      <w:r w:rsidRPr="006F5F2B">
        <w:t xml:space="preserve">Ülekandevõimsuste jaotamise tulu põhivõrgu ettevõte-tele Elering ja Fingrid oli </w:t>
      </w:r>
      <w:r w:rsidR="00D14042">
        <w:t xml:space="preserve">jaanuaris </w:t>
      </w:r>
      <w:r w:rsidRPr="006F5F2B">
        <w:t xml:space="preserve">kokku </w:t>
      </w:r>
      <w:r w:rsidR="00D14042">
        <w:t>203 008</w:t>
      </w:r>
      <w:r w:rsidRPr="006F5F2B">
        <w:t xml:space="preserve"> eurot (</w:t>
      </w:r>
      <w:r w:rsidR="00D14042">
        <w:t>dets</w:t>
      </w:r>
      <w:r w:rsidR="00D14042" w:rsidRPr="006F5F2B">
        <w:t xml:space="preserve">embris </w:t>
      </w:r>
      <w:r w:rsidR="00D14042" w:rsidRPr="00D14042">
        <w:t xml:space="preserve">121 638 </w:t>
      </w:r>
      <w:r w:rsidRPr="006F5F2B">
        <w:t>eu</w:t>
      </w:r>
      <w:r>
        <w:t xml:space="preserve">rot). Vastukaubandustehinguid </w:t>
      </w:r>
      <w:r w:rsidR="00D14042">
        <w:t>jaanua</w:t>
      </w:r>
      <w:r>
        <w:t xml:space="preserve">ris </w:t>
      </w:r>
      <w:r w:rsidR="00BD5398">
        <w:t xml:space="preserve">sarnaselt detsembrile </w:t>
      </w:r>
      <w:r>
        <w:t>vaja ei läinud</w:t>
      </w:r>
      <w:r w:rsidR="00DB37AD">
        <w:t>.</w:t>
      </w:r>
    </w:p>
    <w:p w14:paraId="7FAE8C97" w14:textId="77777777" w:rsidR="00F607C3" w:rsidRDefault="00F607C3" w:rsidP="00176304"/>
    <w:p w14:paraId="1E592212" w14:textId="15CEC14F" w:rsidR="00176304" w:rsidRDefault="00BD5398" w:rsidP="00BA7A51">
      <w:pPr>
        <w:spacing w:after="40"/>
      </w:pPr>
      <w:r>
        <w:rPr>
          <w:noProof/>
        </w:rPr>
        <w:lastRenderedPageBreak/>
        <w:drawing>
          <wp:inline distT="0" distB="0" distL="0" distR="0" wp14:anchorId="6EE67BE0" wp14:editId="78815CB7">
            <wp:extent cx="2971800" cy="1781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68229AD9" w14:textId="5742D4DA" w:rsidR="009215A9" w:rsidRDefault="006F5F2B" w:rsidP="006F5F2B">
      <w:pPr>
        <w:jc w:val="left"/>
      </w:pPr>
      <w:r>
        <w:rPr>
          <w:rStyle w:val="SubtleEmphasis"/>
        </w:rPr>
        <w:t xml:space="preserve">Ülekandevõimsuse jaotamise tulu EstLink kaablite omanikele </w:t>
      </w:r>
      <w:r w:rsidR="00BD5398">
        <w:rPr>
          <w:rStyle w:val="SubtleEmphasis"/>
        </w:rPr>
        <w:t>jooksval aastal</w:t>
      </w:r>
    </w:p>
    <w:p w14:paraId="129B61C2" w14:textId="77777777" w:rsidR="009215A9" w:rsidRDefault="009215A9" w:rsidP="0022344D"/>
    <w:p w14:paraId="4CA3149F" w14:textId="66219C0E" w:rsidR="00BD5398" w:rsidRPr="00BD5398" w:rsidRDefault="00BD5398" w:rsidP="00BD5398">
      <w:pPr>
        <w:rPr>
          <w:b/>
          <w:color w:val="007087"/>
          <w:sz w:val="20"/>
          <w:szCs w:val="22"/>
        </w:rPr>
      </w:pPr>
      <w:r w:rsidRPr="00BD5398">
        <w:rPr>
          <w:b/>
          <w:color w:val="007087"/>
          <w:sz w:val="20"/>
          <w:szCs w:val="22"/>
        </w:rPr>
        <w:t>Eesti-</w:t>
      </w:r>
      <w:r>
        <w:rPr>
          <w:b/>
          <w:color w:val="007087"/>
          <w:sz w:val="20"/>
          <w:szCs w:val="22"/>
        </w:rPr>
        <w:t>Läti</w:t>
      </w:r>
    </w:p>
    <w:p w14:paraId="347C35A7" w14:textId="1822DACD" w:rsidR="00BD5398" w:rsidRDefault="00BD5398" w:rsidP="0022344D">
      <w:r w:rsidRPr="00BD5398">
        <w:t xml:space="preserve">Päev-ette Eesti ja </w:t>
      </w:r>
      <w:r>
        <w:t>Läti</w:t>
      </w:r>
      <w:r w:rsidRPr="00BD5398">
        <w:t xml:space="preserve"> vaheline võimsusvoog oli </w:t>
      </w:r>
      <w:r>
        <w:t>725</w:t>
      </w:r>
      <w:r w:rsidRPr="00BD5398">
        <w:t xml:space="preserve"> tunnil suunatud Eestis</w:t>
      </w:r>
      <w:r>
        <w:t>t Lätti</w:t>
      </w:r>
      <w:r w:rsidRPr="00BD5398">
        <w:t xml:space="preserve"> ja  19 tunnil suunaga </w:t>
      </w:r>
      <w:r>
        <w:t>Lä</w:t>
      </w:r>
      <w:r w:rsidRPr="00BD5398">
        <w:t xml:space="preserve">tist </w:t>
      </w:r>
      <w:r>
        <w:t>Eestisse</w:t>
      </w:r>
      <w:r w:rsidRPr="00BD5398">
        <w:t xml:space="preserve"> (detsembris vastavalt 74</w:t>
      </w:r>
      <w:r>
        <w:t>2</w:t>
      </w:r>
      <w:r w:rsidRPr="00BD5398">
        <w:t xml:space="preserve"> ja </w:t>
      </w:r>
      <w:r>
        <w:t>2</w:t>
      </w:r>
      <w:r w:rsidRPr="00BD5398">
        <w:t xml:space="preserve"> tunnil). Ülekandevõimsus suunal Eesti</w:t>
      </w:r>
      <w:r>
        <w:t>-Läti</w:t>
      </w:r>
      <w:r w:rsidRPr="00BD5398">
        <w:t xml:space="preserve"> oli maksimaalses ulatuses koormatud </w:t>
      </w:r>
      <w:r>
        <w:t>565</w:t>
      </w:r>
      <w:r w:rsidRPr="00BD5398">
        <w:t xml:space="preserve"> tunnil</w:t>
      </w:r>
      <w:r w:rsidR="00915E3B">
        <w:t xml:space="preserve"> e 75,9% tundidest</w:t>
      </w:r>
      <w:r w:rsidRPr="00BD5398">
        <w:t xml:space="preserve"> (detsembris </w:t>
      </w:r>
      <w:r>
        <w:t>592</w:t>
      </w:r>
      <w:r w:rsidRPr="00BD5398">
        <w:t xml:space="preserve"> tunnil</w:t>
      </w:r>
      <w:r w:rsidR="00915E3B">
        <w:t xml:space="preserve"> e 79,6%</w:t>
      </w:r>
      <w:r w:rsidRPr="00BD5398">
        <w:t>)</w:t>
      </w:r>
      <w:r>
        <w:t>, kusjuures kuu kokkuvõttes kasutati ära 88,8% turu antud võimsusest</w:t>
      </w:r>
      <w:r w:rsidR="00915E3B">
        <w:t xml:space="preserve"> (detsembris 93,8%)</w:t>
      </w:r>
      <w:r>
        <w:t>.</w:t>
      </w:r>
      <w:r w:rsidRPr="00BD5398">
        <w:t xml:space="preserve"> </w:t>
      </w:r>
      <w:r>
        <w:t>Lä</w:t>
      </w:r>
      <w:r w:rsidRPr="00BD5398">
        <w:t>ti-</w:t>
      </w:r>
      <w:r>
        <w:t>Eesti</w:t>
      </w:r>
      <w:r w:rsidRPr="00BD5398">
        <w:t xml:space="preserve"> </w:t>
      </w:r>
      <w:r>
        <w:t>ülekandevõimsuse puudujääki</w:t>
      </w:r>
      <w:r w:rsidRPr="00BD5398">
        <w:t xml:space="preserve"> ei esinenud. Päevasiseste tehingute tulemusena </w:t>
      </w:r>
      <w:r w:rsidR="000E31EA" w:rsidRPr="00BD5398">
        <w:t xml:space="preserve">suurenes </w:t>
      </w:r>
      <w:r w:rsidRPr="00BD5398">
        <w:t>pudelikael suunal Soome-Eesti ühe tunni võrra (kolmeni) ja suunal Eesti-Soome vähenes kahele tunnile. Mõlema suuna puhul esines ülekandevõimsuse puudujääk ka kahel tunnil, mil ühendustel ei olnud piiranguid.</w:t>
      </w:r>
    </w:p>
    <w:p w14:paraId="1C231F09" w14:textId="77777777" w:rsidR="00BD5398" w:rsidRDefault="00BD5398" w:rsidP="0022344D"/>
    <w:p w14:paraId="110C72C8" w14:textId="472AE055" w:rsidR="00BD29B2" w:rsidRDefault="00BD29B2" w:rsidP="0022344D">
      <w:r w:rsidRPr="00BD29B2">
        <w:t xml:space="preserve">Päevasisese kauplemise (ELBAS) tulemusena vähenes võimsuse puudujääk suunal Eestist Lätti </w:t>
      </w:r>
      <w:r w:rsidR="00915E3B">
        <w:t>351</w:t>
      </w:r>
      <w:r w:rsidRPr="00BD29B2">
        <w:t xml:space="preserve"> tunnini ehk </w:t>
      </w:r>
      <w:r w:rsidR="00915E3B">
        <w:t>4</w:t>
      </w:r>
      <w:r>
        <w:t>7,</w:t>
      </w:r>
      <w:r w:rsidR="00915E3B">
        <w:t>2</w:t>
      </w:r>
      <w:r w:rsidRPr="00BD29B2">
        <w:t>% ajast (</w:t>
      </w:r>
      <w:r w:rsidR="00915E3B">
        <w:t>dets</w:t>
      </w:r>
      <w:r>
        <w:t xml:space="preserve">embris </w:t>
      </w:r>
      <w:r w:rsidR="00915E3B">
        <w:t>504 tundi ja 67,7</w:t>
      </w:r>
      <w:r w:rsidRPr="00BD29B2">
        <w:t xml:space="preserve">%). Ülekandevõimsuse puudujääki </w:t>
      </w:r>
      <w:r>
        <w:t>normaalrežii</w:t>
      </w:r>
      <w:r w:rsidRPr="00BD29B2">
        <w:t>mil ehk ajal, mil ühendelektrisüsteemis ei toimunud hooldus- või remonttöid</w:t>
      </w:r>
      <w:r>
        <w:t>,</w:t>
      </w:r>
      <w:r w:rsidRPr="00BD29B2">
        <w:t xml:space="preserve"> </w:t>
      </w:r>
      <w:r w:rsidR="00915E3B">
        <w:t>jaanuaris (ega detsembris)</w:t>
      </w:r>
      <w:r w:rsidRPr="00BD29B2">
        <w:t xml:space="preserve"> ei esi</w:t>
      </w:r>
      <w:r w:rsidR="00354CE0">
        <w:softHyphen/>
      </w:r>
      <w:r w:rsidRPr="00BD29B2">
        <w:t>nenud. Eesti ja Läti vahelist piiri</w:t>
      </w:r>
      <w:r w:rsidR="00354CE0">
        <w:softHyphen/>
      </w:r>
      <w:r w:rsidRPr="00BD29B2">
        <w:t>ülest ülekandevõimsust mõjutasid peaasjalikult hooldus</w:t>
      </w:r>
      <w:r w:rsidR="00354CE0">
        <w:softHyphen/>
      </w:r>
      <w:r w:rsidRPr="00BD29B2">
        <w:t>tööd Eesti/Loode-Venemaa ja Läti vahelistel liinidel.</w:t>
      </w:r>
    </w:p>
    <w:p w14:paraId="322089F0" w14:textId="77777777" w:rsidR="00B82C56" w:rsidRDefault="00B82C56" w:rsidP="0022344D"/>
    <w:p w14:paraId="298AD689" w14:textId="28F3FF4F" w:rsidR="00BD29B2" w:rsidRDefault="00D368B6" w:rsidP="00BA7A51">
      <w:pPr>
        <w:spacing w:after="40"/>
      </w:pPr>
      <w:r>
        <w:rPr>
          <w:noProof/>
        </w:rPr>
        <w:drawing>
          <wp:inline distT="0" distB="0" distL="0" distR="0" wp14:anchorId="293F250D" wp14:editId="303629F2">
            <wp:extent cx="2971800" cy="1781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4E551F4F" w14:textId="3DC34DAB" w:rsidR="00BD29B2" w:rsidRDefault="00BD29B2" w:rsidP="0022344D">
      <w:r>
        <w:rPr>
          <w:rStyle w:val="SubtleEmphasis"/>
        </w:rPr>
        <w:t>N</w:t>
      </w:r>
      <w:r w:rsidR="00D368B6">
        <w:rPr>
          <w:rStyle w:val="SubtleEmphasis"/>
        </w:rPr>
        <w:t xml:space="preserve">ord </w:t>
      </w:r>
      <w:r>
        <w:rPr>
          <w:rStyle w:val="SubtleEmphasis"/>
        </w:rPr>
        <w:t>P</w:t>
      </w:r>
      <w:r w:rsidR="00D368B6">
        <w:rPr>
          <w:rStyle w:val="SubtleEmphasis"/>
        </w:rPr>
        <w:t>ool</w:t>
      </w:r>
      <w:r>
        <w:rPr>
          <w:rStyle w:val="SubtleEmphasis"/>
        </w:rPr>
        <w:t xml:space="preserve"> Eesti ja Läti vahelised võimsusvood 201</w:t>
      </w:r>
      <w:r w:rsidR="00D368B6">
        <w:rPr>
          <w:rStyle w:val="SubtleEmphasis"/>
        </w:rPr>
        <w:t>6</w:t>
      </w:r>
      <w:r>
        <w:rPr>
          <w:rStyle w:val="SubtleEmphasis"/>
        </w:rPr>
        <w:t xml:space="preserve">. a </w:t>
      </w:r>
      <w:r w:rsidR="00D368B6">
        <w:rPr>
          <w:rStyle w:val="SubtleEmphasis"/>
        </w:rPr>
        <w:t>jaanuaris</w:t>
      </w:r>
    </w:p>
    <w:p w14:paraId="329EF5DD" w14:textId="77777777" w:rsidR="00BD29B2" w:rsidRDefault="00BD29B2" w:rsidP="0022344D"/>
    <w:p w14:paraId="174AE2CC" w14:textId="6BF525D9" w:rsidR="00BD29B2" w:rsidRDefault="00BD29B2" w:rsidP="0022344D">
      <w:r w:rsidRPr="00BD29B2">
        <w:t>Päev-ette võimsuste jaotamisest saadav tulu Eesti ja Läti ristlõikel, mis jag</w:t>
      </w:r>
      <w:r>
        <w:t>uneb võrdsetes osades põhivõrgu</w:t>
      </w:r>
      <w:r w:rsidRPr="00BD29B2">
        <w:t>ette</w:t>
      </w:r>
      <w:r>
        <w:softHyphen/>
      </w:r>
      <w:r w:rsidRPr="00BD29B2">
        <w:t xml:space="preserve">võtete Elering ja Augstsprieguma tīkls vahel, oli </w:t>
      </w:r>
      <w:r w:rsidR="00D368B6">
        <w:t>jaanuaris</w:t>
      </w:r>
      <w:r w:rsidRPr="00BD29B2">
        <w:t xml:space="preserve"> </w:t>
      </w:r>
      <w:r w:rsidR="00D368B6">
        <w:t>6,1</w:t>
      </w:r>
      <w:r w:rsidRPr="00BD29B2">
        <w:t xml:space="preserve"> miljonit eurot (</w:t>
      </w:r>
      <w:r w:rsidR="00D368B6">
        <w:t>dets</w:t>
      </w:r>
      <w:r w:rsidRPr="00BD29B2">
        <w:t>embris 5,</w:t>
      </w:r>
      <w:r w:rsidR="00D368B6">
        <w:t>3</w:t>
      </w:r>
      <w:r w:rsidRPr="00BD29B2">
        <w:t xml:space="preserve"> miljonit eurot). </w:t>
      </w:r>
      <w:r w:rsidR="00D368B6">
        <w:t>Jaanuaris</w:t>
      </w:r>
      <w:r w:rsidRPr="00BD29B2">
        <w:t xml:space="preserve"> Eesti ja Läti piiriüleste ühenduste ülekoormu</w:t>
      </w:r>
      <w:r w:rsidR="00354CE0">
        <w:softHyphen/>
      </w:r>
      <w:r w:rsidRPr="00BD29B2">
        <w:t>se vältimiseks vastukaubandust</w:t>
      </w:r>
      <w:r w:rsidR="00D368B6">
        <w:t>ehinguid</w:t>
      </w:r>
      <w:r>
        <w:t xml:space="preserve"> vaja ei läinud</w:t>
      </w:r>
      <w:r w:rsidR="004E5CE0">
        <w:t xml:space="preserve"> (</w:t>
      </w:r>
      <w:r w:rsidR="00D368B6">
        <w:t>nagu ka detsembris</w:t>
      </w:r>
      <w:r w:rsidR="004E5CE0">
        <w:t>)</w:t>
      </w:r>
      <w:r w:rsidRPr="00BD29B2">
        <w:t>.</w:t>
      </w:r>
    </w:p>
    <w:p w14:paraId="2EEB78D6" w14:textId="77777777" w:rsidR="00BD29B2" w:rsidRDefault="00BD29B2" w:rsidP="0022344D"/>
    <w:p w14:paraId="1A878395" w14:textId="1FF7D6D4" w:rsidR="00BD29B2" w:rsidRDefault="004C5135" w:rsidP="00BA7A51">
      <w:pPr>
        <w:spacing w:after="40"/>
      </w:pPr>
      <w:r>
        <w:rPr>
          <w:noProof/>
        </w:rPr>
        <w:drawing>
          <wp:inline distT="0" distB="0" distL="0" distR="0" wp14:anchorId="7FFA9D5E" wp14:editId="472CE271">
            <wp:extent cx="2971800" cy="1781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0458DDE6" w14:textId="53CB6D7E" w:rsidR="00BD29B2" w:rsidRDefault="00BD29B2" w:rsidP="0022344D">
      <w:r>
        <w:rPr>
          <w:rStyle w:val="SubtleEmphasis"/>
        </w:rPr>
        <w:t xml:space="preserve">Ülekandevõimsuse tulu Eesti-Läti piiril </w:t>
      </w:r>
      <w:r w:rsidR="004C5135">
        <w:rPr>
          <w:rStyle w:val="SubtleEmphasis"/>
        </w:rPr>
        <w:t>jooksval</w:t>
      </w:r>
      <w:r>
        <w:rPr>
          <w:rStyle w:val="SubtleEmphasis"/>
        </w:rPr>
        <w:t xml:space="preserve"> aastal</w:t>
      </w:r>
    </w:p>
    <w:p w14:paraId="2B935A81" w14:textId="77777777" w:rsidR="00BD29B2" w:rsidRDefault="00BD29B2" w:rsidP="0022344D"/>
    <w:p w14:paraId="4F03D7C9" w14:textId="77777777" w:rsidR="00BD29B2" w:rsidRDefault="00BD29B2" w:rsidP="0022344D"/>
    <w:p w14:paraId="7429FB7B" w14:textId="7956EB6E" w:rsidR="00BD29B2" w:rsidRDefault="00BD29B2" w:rsidP="00BD29B2">
      <w:pPr>
        <w:pStyle w:val="Heading2"/>
      </w:pPr>
      <w:r>
        <w:t>N</w:t>
      </w:r>
      <w:r w:rsidR="004C5135">
        <w:t xml:space="preserve">ord </w:t>
      </w:r>
      <w:r>
        <w:t>P</w:t>
      </w:r>
      <w:r w:rsidR="004C5135">
        <w:t>ool börsi</w:t>
      </w:r>
      <w:r>
        <w:t xml:space="preserve"> kogused</w:t>
      </w:r>
    </w:p>
    <w:p w14:paraId="2455A537" w14:textId="60F39A2C" w:rsidR="00BD29B2" w:rsidRDefault="00116BA4" w:rsidP="0022344D">
      <w:r>
        <w:t>Jaanuaris</w:t>
      </w:r>
      <w:r w:rsidR="004E5CE0" w:rsidRPr="004E5CE0">
        <w:t xml:space="preserve"> osteti N</w:t>
      </w:r>
      <w:r>
        <w:t xml:space="preserve">ord </w:t>
      </w:r>
      <w:r w:rsidR="004E5CE0" w:rsidRPr="004E5CE0">
        <w:t>P</w:t>
      </w:r>
      <w:r>
        <w:t>ool</w:t>
      </w:r>
      <w:r w:rsidR="004E5CE0" w:rsidRPr="004E5CE0">
        <w:t xml:space="preserve"> Eesti hinnapiirkonnas päev-ette turul </w:t>
      </w:r>
      <w:r>
        <w:t>818</w:t>
      </w:r>
      <w:r w:rsidR="004E5CE0" w:rsidRPr="004E5CE0">
        <w:t xml:space="preserve"> GWh elektrit (</w:t>
      </w:r>
      <w:r>
        <w:t>dets</w:t>
      </w:r>
      <w:r w:rsidR="004E5CE0">
        <w:t>embris</w:t>
      </w:r>
      <w:r w:rsidR="004E5CE0" w:rsidRPr="004E5CE0">
        <w:t xml:space="preserve"> </w:t>
      </w:r>
      <w:r w:rsidR="004E5CE0">
        <w:t>6</w:t>
      </w:r>
      <w:r>
        <w:t>32</w:t>
      </w:r>
      <w:r w:rsidR="004E5CE0" w:rsidRPr="004E5CE0">
        <w:t xml:space="preserve"> GWh) ja müüdi </w:t>
      </w:r>
      <w:r>
        <w:t>996</w:t>
      </w:r>
      <w:r w:rsidR="004E5CE0" w:rsidRPr="004E5CE0">
        <w:t xml:space="preserve"> GWh elektrit (</w:t>
      </w:r>
      <w:r>
        <w:t>dets</w:t>
      </w:r>
      <w:r w:rsidR="004E5CE0">
        <w:t>embris</w:t>
      </w:r>
      <w:r w:rsidR="004E5CE0" w:rsidRPr="004E5CE0">
        <w:t xml:space="preserve"> </w:t>
      </w:r>
      <w:r w:rsidR="004E5CE0">
        <w:t>6</w:t>
      </w:r>
      <w:r>
        <w:t>65</w:t>
      </w:r>
      <w:r w:rsidR="004E5CE0" w:rsidRPr="004E5CE0">
        <w:t xml:space="preserve"> GWh).</w:t>
      </w:r>
      <w:r>
        <w:t xml:space="preserve"> Kuises võrdluses suurenenud numbrid näitavad selgelt külma jaanuari mõju.</w:t>
      </w:r>
    </w:p>
    <w:p w14:paraId="04AFF6FE" w14:textId="77777777" w:rsidR="00BD29B2" w:rsidRDefault="00BD29B2" w:rsidP="0022344D"/>
    <w:p w14:paraId="37497BC7" w14:textId="44C611EA" w:rsidR="004E5CE0" w:rsidRDefault="004A4D97" w:rsidP="0022344D">
      <w:r>
        <w:rPr>
          <w:noProof/>
        </w:rPr>
        <w:drawing>
          <wp:inline distT="0" distB="0" distL="0" distR="0" wp14:anchorId="7566CA26" wp14:editId="46B910CB">
            <wp:extent cx="2971800" cy="17811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191E53A4" w14:textId="26742BF6" w:rsidR="004E5CE0" w:rsidRDefault="004E5CE0" w:rsidP="0022344D">
      <w:r w:rsidRPr="004E5CE0">
        <w:rPr>
          <w:rStyle w:val="SubtleEmphasis"/>
        </w:rPr>
        <w:t>NP Elspot Eesti hinnapiirkonnas ostetud ja müüdud kogused</w:t>
      </w:r>
      <w:r w:rsidR="00FD1EAF">
        <w:rPr>
          <w:rStyle w:val="SubtleEmphasis"/>
        </w:rPr>
        <w:t xml:space="preserve"> jooksval</w:t>
      </w:r>
      <w:r w:rsidRPr="004E5CE0">
        <w:rPr>
          <w:rStyle w:val="SubtleEmphasis"/>
        </w:rPr>
        <w:t xml:space="preserve"> aastal</w:t>
      </w:r>
    </w:p>
    <w:p w14:paraId="3B7B85F5" w14:textId="77777777" w:rsidR="004E5CE0" w:rsidRDefault="004E5CE0" w:rsidP="0022344D"/>
    <w:p w14:paraId="0CCED782" w14:textId="448B555E" w:rsidR="004E5CE0" w:rsidRDefault="000B753D" w:rsidP="0022344D">
      <w:r w:rsidRPr="000B753D">
        <w:t xml:space="preserve">NP Elspot tehingute alusel eksporditi Eestist Soome </w:t>
      </w:r>
      <w:r w:rsidR="00FD1EAF">
        <w:t>49,7</w:t>
      </w:r>
      <w:r w:rsidRPr="000B753D">
        <w:t xml:space="preserve"> GWh</w:t>
      </w:r>
      <w:r w:rsidR="00FD1EAF">
        <w:t xml:space="preserve"> ja </w:t>
      </w:r>
      <w:r w:rsidR="00FD1EAF" w:rsidRPr="000B753D">
        <w:t xml:space="preserve">imporditi </w:t>
      </w:r>
      <w:r w:rsidRPr="000B753D">
        <w:t xml:space="preserve">Soomest Eestisse </w:t>
      </w:r>
      <w:r>
        <w:t>3</w:t>
      </w:r>
      <w:r w:rsidR="00FD1EAF">
        <w:t>02,4</w:t>
      </w:r>
      <w:r w:rsidRPr="000B753D">
        <w:t xml:space="preserve"> GWh elektrit</w:t>
      </w:r>
      <w:r w:rsidR="00FD1EAF">
        <w:t xml:space="preserve"> (dets</w:t>
      </w:r>
      <w:r>
        <w:t>embris</w:t>
      </w:r>
      <w:r w:rsidRPr="000B753D">
        <w:t xml:space="preserve"> </w:t>
      </w:r>
      <w:r w:rsidR="00FD1EAF">
        <w:t xml:space="preserve">vastavalt 3,2 GWh ja </w:t>
      </w:r>
      <w:r>
        <w:t>3</w:t>
      </w:r>
      <w:r w:rsidR="00FD1EAF">
        <w:t>9</w:t>
      </w:r>
      <w:r>
        <w:t>9</w:t>
      </w:r>
      <w:r w:rsidR="00FD1EAF">
        <w:t xml:space="preserve"> GWh). Oluliselt suurenenud eksport Soome suunal oli tingitud külmade talveilmade tõttu suurenenud nõudlusest, mis ilmnes ka Soome kõigi aegade tiputarbimise rekordina. </w:t>
      </w:r>
      <w:r w:rsidRPr="000B753D">
        <w:t xml:space="preserve">Päev-ette </w:t>
      </w:r>
      <w:r w:rsidR="00FD1EAF">
        <w:t xml:space="preserve">kaubanduslik </w:t>
      </w:r>
      <w:r w:rsidRPr="000B753D">
        <w:t xml:space="preserve">eksport Lätti oli </w:t>
      </w:r>
      <w:r w:rsidR="00FD1EAF">
        <w:t>434</w:t>
      </w:r>
      <w:r w:rsidR="009016FE">
        <w:t xml:space="preserve"> GWh ja</w:t>
      </w:r>
      <w:r w:rsidRPr="000B753D">
        <w:t xml:space="preserve"> </w:t>
      </w:r>
      <w:r w:rsidR="009016FE">
        <w:t xml:space="preserve">import </w:t>
      </w:r>
      <w:r w:rsidRPr="000B753D">
        <w:t xml:space="preserve">Lätist </w:t>
      </w:r>
      <w:r w:rsidR="00FD1EAF">
        <w:t>3,7</w:t>
      </w:r>
      <w:r w:rsidRPr="000B753D">
        <w:t xml:space="preserve"> GWh (</w:t>
      </w:r>
      <w:r w:rsidR="00FD1EAF">
        <w:t>dets</w:t>
      </w:r>
      <w:r>
        <w:t>em</w:t>
      </w:r>
      <w:r w:rsidRPr="000B753D">
        <w:t xml:space="preserve">bris </w:t>
      </w:r>
      <w:r w:rsidR="009016FE">
        <w:t>vastavalt 429</w:t>
      </w:r>
      <w:r w:rsidR="009016FE" w:rsidRPr="000B753D">
        <w:t xml:space="preserve"> GWh</w:t>
      </w:r>
      <w:r w:rsidR="009016FE">
        <w:t xml:space="preserve"> ja </w:t>
      </w:r>
      <w:r w:rsidR="00FD1EAF">
        <w:t>0,2</w:t>
      </w:r>
      <w:r w:rsidRPr="000B753D">
        <w:t xml:space="preserve"> GWh).</w:t>
      </w:r>
    </w:p>
    <w:p w14:paraId="762E3EFC" w14:textId="77777777" w:rsidR="004E5CE0" w:rsidRDefault="004E5CE0" w:rsidP="0022344D"/>
    <w:p w14:paraId="6733428E" w14:textId="62968D5E" w:rsidR="004E5CE0" w:rsidRDefault="002904FB" w:rsidP="00BA7A51">
      <w:pPr>
        <w:spacing w:after="40"/>
      </w:pPr>
      <w:r>
        <w:rPr>
          <w:noProof/>
        </w:rPr>
        <w:drawing>
          <wp:inline distT="0" distB="0" distL="0" distR="0" wp14:anchorId="5235977D" wp14:editId="05CEFE93">
            <wp:extent cx="29718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714500"/>
                    </a:xfrm>
                    <a:prstGeom prst="rect">
                      <a:avLst/>
                    </a:prstGeom>
                    <a:noFill/>
                    <a:ln>
                      <a:noFill/>
                    </a:ln>
                  </pic:spPr>
                </pic:pic>
              </a:graphicData>
            </a:graphic>
          </wp:inline>
        </w:drawing>
      </w:r>
    </w:p>
    <w:p w14:paraId="348D28EA" w14:textId="1478F8F5" w:rsidR="004E5CE0" w:rsidRDefault="000B753D" w:rsidP="0022344D">
      <w:r w:rsidRPr="000B753D">
        <w:rPr>
          <w:rStyle w:val="SubtleEmphasis"/>
        </w:rPr>
        <w:t xml:space="preserve">NP Eesti hinnapiirkonna Elspot turu import Soomest ja eksport Lätti </w:t>
      </w:r>
      <w:r w:rsidR="009016FE">
        <w:rPr>
          <w:rStyle w:val="SubtleEmphasis"/>
        </w:rPr>
        <w:t>jooksval</w:t>
      </w:r>
      <w:r w:rsidRPr="000B753D">
        <w:rPr>
          <w:rStyle w:val="SubtleEmphasis"/>
        </w:rPr>
        <w:t xml:space="preserve"> aastal</w:t>
      </w:r>
    </w:p>
    <w:p w14:paraId="0CEB6FC9" w14:textId="77777777" w:rsidR="000B753D" w:rsidRDefault="000B753D" w:rsidP="0022344D"/>
    <w:p w14:paraId="3F2C18E8" w14:textId="7FDE3BA4" w:rsidR="000B753D" w:rsidRDefault="000B753D" w:rsidP="0022344D">
      <w:r w:rsidRPr="000B753D">
        <w:t xml:space="preserve">Eesti turuosalised ostsid </w:t>
      </w:r>
      <w:r w:rsidR="002904FB">
        <w:t>jaanuaris</w:t>
      </w:r>
      <w:r w:rsidR="002904FB" w:rsidRPr="000B753D">
        <w:t xml:space="preserve"> </w:t>
      </w:r>
      <w:r w:rsidRPr="000B753D">
        <w:t xml:space="preserve">siseriikliku tarbimise </w:t>
      </w:r>
      <w:r w:rsidR="00A16CE2">
        <w:t xml:space="preserve">(906 GWh) </w:t>
      </w:r>
      <w:r w:rsidRPr="000B753D">
        <w:t>katteks elektrienergiat kokku päev-ette (El</w:t>
      </w:r>
      <w:r w:rsidR="002904FB">
        <w:softHyphen/>
      </w:r>
      <w:r w:rsidRPr="000B753D">
        <w:t xml:space="preserve">spot) ja päevasiseselt (Elbas) turult </w:t>
      </w:r>
      <w:r w:rsidR="00A16CE2">
        <w:t>92</w:t>
      </w:r>
      <w:r w:rsidRPr="000B753D">
        <w:t xml:space="preserve">% ulatuses ehk </w:t>
      </w:r>
      <w:r w:rsidR="004A4D97">
        <w:t>834</w:t>
      </w:r>
      <w:r w:rsidRPr="000B753D">
        <w:t xml:space="preserve"> GWh (</w:t>
      </w:r>
      <w:r w:rsidR="004A4D97">
        <w:t>dets</w:t>
      </w:r>
      <w:r>
        <w:t>embris</w:t>
      </w:r>
      <w:r w:rsidRPr="000B753D">
        <w:t xml:space="preserve"> </w:t>
      </w:r>
      <w:r w:rsidR="00826746">
        <w:t>9</w:t>
      </w:r>
      <w:r w:rsidR="004A4D97">
        <w:t>5</w:t>
      </w:r>
      <w:r w:rsidRPr="000B753D">
        <w:t>% ehk 6</w:t>
      </w:r>
      <w:r w:rsidR="004A4D97">
        <w:t>39</w:t>
      </w:r>
      <w:r w:rsidRPr="000B753D">
        <w:t xml:space="preserve"> GWh). Eestis toodetud </w:t>
      </w:r>
      <w:r w:rsidR="00A16CE2">
        <w:t>1089</w:t>
      </w:r>
      <w:r w:rsidRPr="000B753D">
        <w:t xml:space="preserve"> GWh elektrienergiast müüdi päev-ette ja päeva</w:t>
      </w:r>
      <w:r w:rsidR="002904FB">
        <w:softHyphen/>
      </w:r>
      <w:r w:rsidRPr="000B753D">
        <w:t xml:space="preserve">sisesel turul </w:t>
      </w:r>
      <w:r w:rsidR="00A16CE2">
        <w:t>92</w:t>
      </w:r>
      <w:r w:rsidRPr="000B753D">
        <w:t xml:space="preserve">% ehk </w:t>
      </w:r>
      <w:r w:rsidR="004A4D97">
        <w:t>1005</w:t>
      </w:r>
      <w:r w:rsidRPr="000B753D">
        <w:t xml:space="preserve"> GWh (</w:t>
      </w:r>
      <w:r w:rsidR="004A4D97">
        <w:t>dets</w:t>
      </w:r>
      <w:r>
        <w:t>embris</w:t>
      </w:r>
      <w:r w:rsidRPr="000B753D">
        <w:t xml:space="preserve"> </w:t>
      </w:r>
      <w:r>
        <w:t>8</w:t>
      </w:r>
      <w:r w:rsidR="004A4D97">
        <w:t>6</w:t>
      </w:r>
      <w:r w:rsidRPr="000B753D">
        <w:t>% ehk 6</w:t>
      </w:r>
      <w:r w:rsidR="004A4D97">
        <w:t>70</w:t>
      </w:r>
      <w:r w:rsidRPr="000B753D">
        <w:t xml:space="preserve"> GWh).</w:t>
      </w:r>
    </w:p>
    <w:p w14:paraId="0206129C" w14:textId="77777777" w:rsidR="000B753D" w:rsidRDefault="000B753D" w:rsidP="0022344D"/>
    <w:p w14:paraId="3E04942F" w14:textId="4EE1DA79" w:rsidR="000B753D" w:rsidRDefault="004A4D97" w:rsidP="00BA7A51">
      <w:pPr>
        <w:spacing w:after="40"/>
      </w:pPr>
      <w:r>
        <w:rPr>
          <w:noProof/>
        </w:rPr>
        <w:drawing>
          <wp:inline distT="0" distB="0" distL="0" distR="0" wp14:anchorId="27777416" wp14:editId="722D4CA2">
            <wp:extent cx="2971800" cy="17811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50B59AAE" w14:textId="64C91C30" w:rsidR="000B753D" w:rsidRDefault="000B753D" w:rsidP="0022344D">
      <w:r w:rsidRPr="000B753D">
        <w:rPr>
          <w:rStyle w:val="SubtleEmphasis"/>
        </w:rPr>
        <w:t xml:space="preserve">Elbas turul päevasiseselt kaubeldud kogused </w:t>
      </w:r>
      <w:r w:rsidR="004A4D97">
        <w:rPr>
          <w:rStyle w:val="SubtleEmphasis"/>
        </w:rPr>
        <w:t>jooksval</w:t>
      </w:r>
      <w:r w:rsidRPr="000B753D">
        <w:rPr>
          <w:rStyle w:val="SubtleEmphasis"/>
        </w:rPr>
        <w:t xml:space="preserve"> aastal</w:t>
      </w:r>
    </w:p>
    <w:p w14:paraId="61FBDA41" w14:textId="77777777" w:rsidR="000B753D" w:rsidRDefault="000B753D" w:rsidP="0022344D"/>
    <w:p w14:paraId="19C4608A" w14:textId="745B381F" w:rsidR="000B753D" w:rsidRDefault="000B753D" w:rsidP="0022344D">
      <w:r w:rsidRPr="000B753D">
        <w:t>NP Elbas turu Eesti hinnapiirkonna</w:t>
      </w:r>
      <w:r w:rsidR="004A4D97">
        <w:t xml:space="preserve"> ostu</w:t>
      </w:r>
      <w:r w:rsidR="000E31EA">
        <w:t>-</w:t>
      </w:r>
      <w:r w:rsidR="004A4D97">
        <w:t xml:space="preserve"> ja müügikoguse</w:t>
      </w:r>
      <w:r w:rsidR="000E31EA">
        <w:t>d</w:t>
      </w:r>
      <w:r w:rsidR="004A4D97">
        <w:t xml:space="preserve"> suurenesid oluliselt eelmise kuuga võrreldes:</w:t>
      </w:r>
      <w:r w:rsidRPr="000B753D">
        <w:t xml:space="preserve"> osteti </w:t>
      </w:r>
      <w:r w:rsidR="004A4D97">
        <w:t>16,2</w:t>
      </w:r>
      <w:r w:rsidRPr="000B753D">
        <w:t xml:space="preserve"> GWh ning müüdi </w:t>
      </w:r>
      <w:r w:rsidR="004A4D97">
        <w:t>9,9</w:t>
      </w:r>
      <w:r w:rsidRPr="000B753D">
        <w:t xml:space="preserve"> GWh elektrienergiat (</w:t>
      </w:r>
      <w:r w:rsidR="004A4D97">
        <w:t>dets</w:t>
      </w:r>
      <w:r>
        <w:t>embris</w:t>
      </w:r>
      <w:r w:rsidRPr="000B753D">
        <w:t xml:space="preserve"> vastavalt </w:t>
      </w:r>
      <w:r w:rsidR="004A4D97">
        <w:t>7,7</w:t>
      </w:r>
      <w:r w:rsidRPr="000B753D">
        <w:t xml:space="preserve"> GWh ja </w:t>
      </w:r>
      <w:r w:rsidR="004A4D97">
        <w:t>5,2</w:t>
      </w:r>
      <w:r w:rsidRPr="000B753D">
        <w:t xml:space="preserve"> GWh).</w:t>
      </w:r>
    </w:p>
    <w:p w14:paraId="365CFF85" w14:textId="77777777" w:rsidR="000B753D" w:rsidRDefault="000B753D" w:rsidP="0022344D"/>
    <w:p w14:paraId="7E8ED61C" w14:textId="7127BF14" w:rsidR="000B753D" w:rsidRDefault="004A4D97" w:rsidP="00BA7A51">
      <w:pPr>
        <w:spacing w:after="40"/>
      </w:pPr>
      <w:r>
        <w:rPr>
          <w:noProof/>
        </w:rPr>
        <w:drawing>
          <wp:inline distT="0" distB="0" distL="0" distR="0" wp14:anchorId="2A8BBCE2" wp14:editId="774D7253">
            <wp:extent cx="2971800" cy="17811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48B8FA57" w14:textId="3F4AEC77" w:rsidR="000B753D" w:rsidRDefault="000B753D" w:rsidP="0022344D">
      <w:r w:rsidRPr="000B753D">
        <w:rPr>
          <w:rStyle w:val="SubtleEmphasis"/>
        </w:rPr>
        <w:t>NP Eesti ja NP Läti hinnapiirkondades ostetud ja müüdud kog</w:t>
      </w:r>
      <w:r>
        <w:rPr>
          <w:rStyle w:val="SubtleEmphasis"/>
        </w:rPr>
        <w:t xml:space="preserve">uste käive </w:t>
      </w:r>
      <w:r w:rsidR="004A4D97">
        <w:rPr>
          <w:rStyle w:val="SubtleEmphasis"/>
        </w:rPr>
        <w:t>jooksval</w:t>
      </w:r>
      <w:r>
        <w:rPr>
          <w:rStyle w:val="SubtleEmphasis"/>
        </w:rPr>
        <w:t xml:space="preserve"> aastal</w:t>
      </w:r>
    </w:p>
    <w:p w14:paraId="7B68B358" w14:textId="77777777" w:rsidR="000B753D" w:rsidRDefault="000B753D" w:rsidP="0022344D"/>
    <w:p w14:paraId="1DB842F6" w14:textId="360D287A" w:rsidR="000B753D" w:rsidRDefault="000B753D" w:rsidP="0022344D">
      <w:r w:rsidRPr="000B753D">
        <w:t xml:space="preserve">NP Eesti hinnapiirkonnas päev-ette ostetud koguste käive oli </w:t>
      </w:r>
      <w:r w:rsidR="004A4D97">
        <w:t>jaanuaris</w:t>
      </w:r>
      <w:r w:rsidRPr="000B753D">
        <w:t xml:space="preserve"> </w:t>
      </w:r>
      <w:r w:rsidR="004A4D97">
        <w:t>33,1</w:t>
      </w:r>
      <w:r w:rsidRPr="000B753D">
        <w:t xml:space="preserve"> miljonit eurot ja NP Läti piirkonnas </w:t>
      </w:r>
      <w:r w:rsidR="004A4D97">
        <w:t>39</w:t>
      </w:r>
      <w:r w:rsidRPr="000B753D">
        <w:t xml:space="preserve"> miljonit eurot (</w:t>
      </w:r>
      <w:r w:rsidR="004A4D97">
        <w:t>dets</w:t>
      </w:r>
      <w:r>
        <w:t>embris</w:t>
      </w:r>
      <w:r w:rsidRPr="000B753D">
        <w:t xml:space="preserve"> vastavalt </w:t>
      </w:r>
      <w:r w:rsidR="004A4D97">
        <w:t>18,5</w:t>
      </w:r>
      <w:r w:rsidRPr="000B753D">
        <w:t xml:space="preserve"> ja </w:t>
      </w:r>
      <w:r>
        <w:t>2</w:t>
      </w:r>
      <w:r w:rsidR="004A4D97">
        <w:t>6,2</w:t>
      </w:r>
      <w:r w:rsidRPr="000B753D">
        <w:t xml:space="preserve"> miljonit eurot). Müüdud koguste käive oli Eesti hinnapiirkonnas </w:t>
      </w:r>
      <w:r w:rsidR="004A4D97">
        <w:t>43,1</w:t>
      </w:r>
      <w:r w:rsidRPr="000B753D">
        <w:t xml:space="preserve"> miljonit eurot ja Läti hinnapiirkonnas </w:t>
      </w:r>
      <w:r w:rsidR="004A4D97">
        <w:t>37,7</w:t>
      </w:r>
      <w:r w:rsidRPr="000B753D">
        <w:t xml:space="preserve"> miljonit eurot (</w:t>
      </w:r>
      <w:r w:rsidR="004A4D97">
        <w:t>dets</w:t>
      </w:r>
      <w:r w:rsidR="00A0454C">
        <w:t>embris</w:t>
      </w:r>
      <w:r w:rsidRPr="000B753D">
        <w:t xml:space="preserve"> vastavalt </w:t>
      </w:r>
      <w:r w:rsidR="004A4D97">
        <w:t xml:space="preserve">20,3 </w:t>
      </w:r>
      <w:r w:rsidRPr="000B753D">
        <w:t xml:space="preserve">miljonit eurot ja </w:t>
      </w:r>
      <w:r w:rsidR="004A4D97">
        <w:t>22,9</w:t>
      </w:r>
      <w:r w:rsidRPr="000B753D">
        <w:t xml:space="preserve"> miljonit eurot)</w:t>
      </w:r>
      <w:r w:rsidR="00A0454C">
        <w:t>.</w:t>
      </w:r>
    </w:p>
    <w:p w14:paraId="5F9322F2" w14:textId="77777777" w:rsidR="00A0454C" w:rsidRDefault="00A0454C" w:rsidP="0022344D"/>
    <w:p w14:paraId="52223411" w14:textId="1E75F8CC" w:rsidR="00A0454C" w:rsidRDefault="00A0454C" w:rsidP="00A0454C">
      <w:pPr>
        <w:pStyle w:val="Heading2"/>
      </w:pPr>
      <w:r>
        <w:t>Tulevikutehingud</w:t>
      </w:r>
    </w:p>
    <w:p w14:paraId="2AB08CCF" w14:textId="70FB863C" w:rsidR="00A0454C" w:rsidRDefault="00A0454C" w:rsidP="00A0454C">
      <w:r w:rsidRPr="008D6ED6">
        <w:t>Nasdaq OMX Commodities</w:t>
      </w:r>
      <w:r w:rsidRPr="00A0454C">
        <w:t xml:space="preserve"> 201</w:t>
      </w:r>
      <w:r w:rsidR="00A16CE2">
        <w:t>6</w:t>
      </w:r>
      <w:r w:rsidRPr="00A0454C">
        <w:t xml:space="preserve">. aasta </w:t>
      </w:r>
      <w:r w:rsidR="00A16CE2">
        <w:t>jaanuari</w:t>
      </w:r>
      <w:r w:rsidRPr="00A0454C">
        <w:t xml:space="preserve"> viimase kauplemispäeva </w:t>
      </w:r>
      <w:r w:rsidR="002D5711">
        <w:t>(</w:t>
      </w:r>
      <w:r w:rsidR="00A16CE2">
        <w:t>29.01.2016</w:t>
      </w:r>
      <w:r w:rsidR="002D5711">
        <w:t xml:space="preserve">) </w:t>
      </w:r>
      <w:r w:rsidRPr="00A0454C">
        <w:t>tulevikutehingute põhjal kujuneb N</w:t>
      </w:r>
      <w:r w:rsidR="00A16CE2">
        <w:t xml:space="preserve">ord </w:t>
      </w:r>
      <w:r w:rsidRPr="00A0454C">
        <w:t>P</w:t>
      </w:r>
      <w:r w:rsidR="00A16CE2">
        <w:t>ool elektribörsi</w:t>
      </w:r>
      <w:r w:rsidRPr="00A0454C">
        <w:t xml:space="preserve"> süsteemihinnaks 2016. a </w:t>
      </w:r>
      <w:r w:rsidR="00A16CE2">
        <w:t xml:space="preserve">veebruaris </w:t>
      </w:r>
      <w:r w:rsidR="009641AD">
        <w:t>22,05 €/MWh ja 2016. a tei</w:t>
      </w:r>
      <w:r w:rsidRPr="00A0454C">
        <w:t xml:space="preserve">se kvartali hinnaks </w:t>
      </w:r>
      <w:r w:rsidR="009641AD">
        <w:t>17,59</w:t>
      </w:r>
      <w:r w:rsidRPr="00A0454C">
        <w:t xml:space="preserve"> €/MWh. EPAD Tallinn lepingute sulge</w:t>
      </w:r>
      <w:r w:rsidR="00354CE0">
        <w:softHyphen/>
      </w:r>
      <w:r w:rsidR="009641AD">
        <w:t>mishind oli 2016. aasta veebr</w:t>
      </w:r>
      <w:r w:rsidRPr="00A0454C">
        <w:t xml:space="preserve">uari tootel </w:t>
      </w:r>
      <w:r w:rsidR="009641AD">
        <w:t xml:space="preserve">14,78 </w:t>
      </w:r>
      <w:r w:rsidRPr="00A0454C">
        <w:t xml:space="preserve">€/MWh ning 2016. aasta </w:t>
      </w:r>
      <w:r w:rsidR="009641AD">
        <w:t xml:space="preserve">teise </w:t>
      </w:r>
      <w:r w:rsidRPr="00A0454C">
        <w:t xml:space="preserve">kvartali tootel </w:t>
      </w:r>
      <w:r w:rsidR="009641AD">
        <w:t>14,35</w:t>
      </w:r>
      <w:r w:rsidRPr="00A0454C">
        <w:t xml:space="preserve"> €/MWh. </w:t>
      </w:r>
      <w:r w:rsidR="003E7A6C">
        <w:t>Tehingute</w:t>
      </w:r>
      <w:r w:rsidRPr="00A0454C">
        <w:t xml:space="preserve"> põhjal kujuneks 2016. aasta </w:t>
      </w:r>
      <w:r w:rsidR="009641AD">
        <w:t>veebr</w:t>
      </w:r>
      <w:r w:rsidRPr="00A0454C">
        <w:t>uari keskmiseks elektri</w:t>
      </w:r>
      <w:r w:rsidR="003E7A6C">
        <w:softHyphen/>
      </w:r>
      <w:r w:rsidRPr="00A0454C">
        <w:t xml:space="preserve">energia hinnaks NP Eesti hinnapiirkonnas </w:t>
      </w:r>
      <w:r w:rsidR="009641AD">
        <w:t>36,83</w:t>
      </w:r>
      <w:r w:rsidR="002D5711">
        <w:t xml:space="preserve"> </w:t>
      </w:r>
      <w:r w:rsidRPr="00A0454C">
        <w:t xml:space="preserve">ja </w:t>
      </w:r>
      <w:r w:rsidR="009641AD">
        <w:t>teise</w:t>
      </w:r>
      <w:r w:rsidRPr="00A0454C">
        <w:t xml:space="preserve"> </w:t>
      </w:r>
      <w:r w:rsidRPr="00A0454C">
        <w:lastRenderedPageBreak/>
        <w:t xml:space="preserve">kvartali keskmiseks hinnaks </w:t>
      </w:r>
      <w:r w:rsidR="009641AD">
        <w:t>31,94</w:t>
      </w:r>
      <w:r w:rsidRPr="00A0454C">
        <w:t xml:space="preserve"> €/MWh</w:t>
      </w:r>
      <w:r w:rsidR="002D5711">
        <w:t xml:space="preserve"> (</w:t>
      </w:r>
      <w:r w:rsidR="009641AD">
        <w:t xml:space="preserve">detsembri </w:t>
      </w:r>
      <w:r w:rsidR="002D5711">
        <w:t xml:space="preserve">lõpu tehingute põhjal vastavalt </w:t>
      </w:r>
      <w:r w:rsidR="009641AD">
        <w:t>37,98</w:t>
      </w:r>
      <w:r w:rsidR="002D5711">
        <w:t xml:space="preserve"> ja </w:t>
      </w:r>
      <w:r w:rsidR="009641AD">
        <w:t>31,15</w:t>
      </w:r>
      <w:r w:rsidR="002D5711">
        <w:t xml:space="preserve"> €/MWh)</w:t>
      </w:r>
      <w:r w:rsidRPr="00A0454C">
        <w:t>.</w:t>
      </w:r>
    </w:p>
    <w:p w14:paraId="5216B472" w14:textId="77777777" w:rsidR="00A0454C" w:rsidRDefault="00A0454C" w:rsidP="0022344D"/>
    <w:p w14:paraId="03FFD5A8" w14:textId="1C3984FA" w:rsidR="00A0454C" w:rsidRDefault="009641AD" w:rsidP="00BA7A51">
      <w:pPr>
        <w:spacing w:after="40"/>
      </w:pPr>
      <w:r>
        <w:rPr>
          <w:noProof/>
        </w:rPr>
        <w:drawing>
          <wp:inline distT="0" distB="0" distL="0" distR="0" wp14:anchorId="2B217EE0" wp14:editId="2553D5B0">
            <wp:extent cx="2971800" cy="1905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p w14:paraId="08B44E79" w14:textId="1C1795F5" w:rsidR="00A0454C" w:rsidRPr="00A0454C" w:rsidRDefault="00A0454C" w:rsidP="0022344D">
      <w:pPr>
        <w:rPr>
          <w:rStyle w:val="SubtleEmphasis"/>
        </w:rPr>
      </w:pPr>
      <w:r w:rsidRPr="00A0454C">
        <w:rPr>
          <w:rStyle w:val="SubtleEmphasis"/>
        </w:rPr>
        <w:t>NP EE hinnapiirkonna eeldatav hind Nasdaq OMX tuleviku</w:t>
      </w:r>
      <w:r>
        <w:rPr>
          <w:rStyle w:val="SubtleEmphasis"/>
        </w:rPr>
        <w:softHyphen/>
      </w:r>
      <w:r w:rsidRPr="00A0454C">
        <w:rPr>
          <w:rStyle w:val="SubtleEmphasis"/>
        </w:rPr>
        <w:t xml:space="preserve">tehingute hindade põhjal 2015. a </w:t>
      </w:r>
      <w:r>
        <w:rPr>
          <w:rStyle w:val="SubtleEmphasis"/>
        </w:rPr>
        <w:t>dets</w:t>
      </w:r>
      <w:r w:rsidRPr="00A0454C">
        <w:rPr>
          <w:rStyle w:val="SubtleEmphasis"/>
        </w:rPr>
        <w:t xml:space="preserve">embri </w:t>
      </w:r>
      <w:r w:rsidR="009641AD">
        <w:rPr>
          <w:rStyle w:val="SubtleEmphasis"/>
        </w:rPr>
        <w:t xml:space="preserve">ja 2016. a jaanuari </w:t>
      </w:r>
      <w:r w:rsidRPr="00A0454C">
        <w:rPr>
          <w:rStyle w:val="SubtleEmphasis"/>
        </w:rPr>
        <w:t>viimase kauplemispäeva seisuga</w:t>
      </w:r>
    </w:p>
    <w:p w14:paraId="4C154BAF" w14:textId="77777777" w:rsidR="00A0454C" w:rsidRDefault="00A0454C" w:rsidP="0022344D"/>
    <w:p w14:paraId="68056358" w14:textId="4189DB8F" w:rsidR="00A0454C" w:rsidRDefault="00115F7C" w:rsidP="0022344D">
      <w:r w:rsidRPr="00115F7C">
        <w:t xml:space="preserve">EEX Power Derivatives Saksamaa piirkonna </w:t>
      </w:r>
      <w:r w:rsidR="000A678E">
        <w:t xml:space="preserve">jaanuari </w:t>
      </w:r>
      <w:r>
        <w:t>viimase kauplemispäeva</w:t>
      </w:r>
      <w:r w:rsidR="000A678E">
        <w:t xml:space="preserve"> tuleviku</w:t>
      </w:r>
      <w:r w:rsidR="000A678E" w:rsidRPr="00115F7C">
        <w:t>tehingute</w:t>
      </w:r>
      <w:r w:rsidR="000A678E">
        <w:t xml:space="preserve"> põhjal kujuneb 2017. aasta baashinnaks 23,59 €/MWh ning tipukoormuse hinnaks 29,91 €/MWh</w:t>
      </w:r>
      <w:r w:rsidRPr="00115F7C">
        <w:t xml:space="preserve">. Prantsusmaa piirkonna tehingute põhjal </w:t>
      </w:r>
      <w:r w:rsidR="000A678E">
        <w:t xml:space="preserve">kaubeldi 2017. a </w:t>
      </w:r>
      <w:r w:rsidRPr="00115F7C">
        <w:t>baaselektri</w:t>
      </w:r>
      <w:r w:rsidR="000A678E">
        <w:t xml:space="preserve"> futuuridega</w:t>
      </w:r>
      <w:r w:rsidRPr="00115F7C">
        <w:t xml:space="preserve"> </w:t>
      </w:r>
      <w:r w:rsidR="000A678E">
        <w:t xml:space="preserve">hinnaga 29,38 €/MWh </w:t>
      </w:r>
      <w:r w:rsidRPr="00115F7C">
        <w:t xml:space="preserve">ja tiputundide </w:t>
      </w:r>
      <w:r w:rsidR="000A678E">
        <w:t>futuuridega hinnaga</w:t>
      </w:r>
      <w:r w:rsidRPr="00115F7C">
        <w:t xml:space="preserve"> </w:t>
      </w:r>
      <w:r w:rsidR="000A678E">
        <w:t>38</w:t>
      </w:r>
      <w:r w:rsidRPr="00115F7C">
        <w:t xml:space="preserve"> €</w:t>
      </w:r>
      <w:r w:rsidR="000A678E">
        <w:t>/MWh</w:t>
      </w:r>
      <w:r w:rsidRPr="00115F7C">
        <w:t>.</w:t>
      </w:r>
    </w:p>
    <w:p w14:paraId="2BA4280D" w14:textId="77777777" w:rsidR="00115F7C" w:rsidRDefault="00115F7C" w:rsidP="0022344D"/>
    <w:tbl>
      <w:tblPr>
        <w:tblStyle w:val="TableGrid"/>
        <w:tblW w:w="0" w:type="auto"/>
        <w:tblInd w:w="-5" w:type="dxa"/>
        <w:tblLook w:val="04A0" w:firstRow="1" w:lastRow="0" w:firstColumn="1" w:lastColumn="0" w:noHBand="0" w:noVBand="1"/>
      </w:tblPr>
      <w:tblGrid>
        <w:gridCol w:w="1985"/>
        <w:gridCol w:w="1417"/>
        <w:gridCol w:w="1271"/>
      </w:tblGrid>
      <w:tr w:rsidR="00AA7808" w:rsidRPr="00D231C5" w14:paraId="76A57BF2" w14:textId="77777777" w:rsidTr="00AA7808">
        <w:trPr>
          <w:trHeight w:val="265"/>
        </w:trPr>
        <w:tc>
          <w:tcPr>
            <w:tcW w:w="1985" w:type="dxa"/>
            <w:vMerge w:val="restart"/>
            <w:shd w:val="clear" w:color="auto" w:fill="007087"/>
            <w:vAlign w:val="center"/>
          </w:tcPr>
          <w:p w14:paraId="3E3EE8DA" w14:textId="1D8C9A47" w:rsidR="00AA7808" w:rsidRDefault="00AA7808" w:rsidP="00BD5398">
            <w:pPr>
              <w:pStyle w:val="NoSpacing"/>
              <w:spacing w:before="60" w:after="60"/>
              <w:jc w:val="left"/>
              <w:rPr>
                <w:b/>
                <w:color w:val="FFFFFF" w:themeColor="background1"/>
                <w:sz w:val="16"/>
                <w:szCs w:val="16"/>
              </w:rPr>
            </w:pPr>
            <w:r>
              <w:rPr>
                <w:b/>
                <w:color w:val="FFFFFF" w:themeColor="background1"/>
                <w:sz w:val="16"/>
                <w:szCs w:val="16"/>
              </w:rPr>
              <w:t>€/MWh</w:t>
            </w:r>
          </w:p>
        </w:tc>
        <w:tc>
          <w:tcPr>
            <w:tcW w:w="2688" w:type="dxa"/>
            <w:gridSpan w:val="2"/>
            <w:shd w:val="clear" w:color="auto" w:fill="007087"/>
            <w:vAlign w:val="center"/>
          </w:tcPr>
          <w:p w14:paraId="22F39B9C" w14:textId="57093616" w:rsidR="00AA7808" w:rsidRDefault="00AA7808" w:rsidP="00AA7808">
            <w:pPr>
              <w:pStyle w:val="NoSpacing"/>
              <w:spacing w:before="60" w:after="60"/>
              <w:jc w:val="center"/>
              <w:rPr>
                <w:b/>
                <w:color w:val="FFFFFF" w:themeColor="background1"/>
                <w:sz w:val="16"/>
                <w:szCs w:val="16"/>
              </w:rPr>
            </w:pPr>
            <w:r>
              <w:rPr>
                <w:b/>
                <w:color w:val="FFFFFF" w:themeColor="background1"/>
                <w:sz w:val="16"/>
                <w:szCs w:val="16"/>
              </w:rPr>
              <w:t>2017. a baas-/ t</w:t>
            </w:r>
            <w:r w:rsidRPr="000A678E">
              <w:rPr>
                <w:b/>
                <w:color w:val="FFFFFF" w:themeColor="background1"/>
                <w:sz w:val="16"/>
                <w:szCs w:val="16"/>
              </w:rPr>
              <w:t>ipukoormuse tunnihind</w:t>
            </w:r>
          </w:p>
        </w:tc>
      </w:tr>
      <w:tr w:rsidR="00AA7808" w:rsidRPr="00D231C5" w14:paraId="5806BE6C" w14:textId="77777777" w:rsidTr="00AA7808">
        <w:trPr>
          <w:trHeight w:val="242"/>
        </w:trPr>
        <w:tc>
          <w:tcPr>
            <w:tcW w:w="1985" w:type="dxa"/>
            <w:vMerge/>
            <w:shd w:val="clear" w:color="auto" w:fill="007087"/>
            <w:vAlign w:val="center"/>
          </w:tcPr>
          <w:p w14:paraId="10D5FC67" w14:textId="473D810D" w:rsidR="00AA7808" w:rsidRPr="00D231C5" w:rsidRDefault="00AA7808" w:rsidP="00BD5398">
            <w:pPr>
              <w:pStyle w:val="NoSpacing"/>
              <w:spacing w:before="60" w:after="60"/>
              <w:jc w:val="left"/>
              <w:rPr>
                <w:b/>
                <w:color w:val="FFFFFF" w:themeColor="background1"/>
                <w:sz w:val="16"/>
                <w:szCs w:val="16"/>
              </w:rPr>
            </w:pPr>
          </w:p>
        </w:tc>
        <w:tc>
          <w:tcPr>
            <w:tcW w:w="1417" w:type="dxa"/>
            <w:shd w:val="clear" w:color="auto" w:fill="007087"/>
            <w:vAlign w:val="center"/>
          </w:tcPr>
          <w:p w14:paraId="15377A57" w14:textId="508E6992" w:rsidR="00AA7808" w:rsidRPr="00D231C5" w:rsidRDefault="00AA7808" w:rsidP="00BD5398">
            <w:pPr>
              <w:pStyle w:val="NoSpacing"/>
              <w:spacing w:before="60" w:after="60"/>
              <w:jc w:val="center"/>
              <w:rPr>
                <w:b/>
                <w:color w:val="FFFFFF" w:themeColor="background1"/>
                <w:sz w:val="16"/>
                <w:szCs w:val="16"/>
              </w:rPr>
            </w:pPr>
            <w:r>
              <w:rPr>
                <w:b/>
                <w:color w:val="FFFFFF" w:themeColor="background1"/>
                <w:sz w:val="16"/>
                <w:szCs w:val="16"/>
              </w:rPr>
              <w:t>30.12.2015</w:t>
            </w:r>
          </w:p>
        </w:tc>
        <w:tc>
          <w:tcPr>
            <w:tcW w:w="1271" w:type="dxa"/>
            <w:shd w:val="clear" w:color="auto" w:fill="007087"/>
            <w:vAlign w:val="center"/>
          </w:tcPr>
          <w:p w14:paraId="7C40ABAB" w14:textId="61E2304B" w:rsidR="00AA7808" w:rsidRPr="00D231C5" w:rsidRDefault="00AA7808" w:rsidP="00BD5398">
            <w:pPr>
              <w:pStyle w:val="NoSpacing"/>
              <w:spacing w:before="60" w:after="60"/>
              <w:jc w:val="center"/>
              <w:rPr>
                <w:b/>
                <w:color w:val="FFFFFF" w:themeColor="background1"/>
                <w:sz w:val="16"/>
                <w:szCs w:val="16"/>
              </w:rPr>
            </w:pPr>
            <w:r>
              <w:rPr>
                <w:b/>
                <w:color w:val="FFFFFF" w:themeColor="background1"/>
                <w:sz w:val="16"/>
                <w:szCs w:val="16"/>
              </w:rPr>
              <w:t>29.12.2015</w:t>
            </w:r>
          </w:p>
        </w:tc>
      </w:tr>
      <w:tr w:rsidR="00115F7C" w:rsidRPr="00D231C5" w14:paraId="334706F9" w14:textId="77777777" w:rsidTr="00AA7808">
        <w:tc>
          <w:tcPr>
            <w:tcW w:w="1985" w:type="dxa"/>
            <w:vAlign w:val="center"/>
          </w:tcPr>
          <w:p w14:paraId="0F5BBD57" w14:textId="3D6393E6" w:rsidR="00115F7C" w:rsidRPr="00D231C5" w:rsidRDefault="000A678E" w:rsidP="000A678E">
            <w:pPr>
              <w:pStyle w:val="NoSpacing"/>
              <w:spacing w:before="60" w:after="60"/>
              <w:jc w:val="left"/>
              <w:rPr>
                <w:sz w:val="16"/>
                <w:szCs w:val="16"/>
              </w:rPr>
            </w:pPr>
            <w:r w:rsidRPr="000A678E">
              <w:rPr>
                <w:sz w:val="16"/>
                <w:szCs w:val="16"/>
              </w:rPr>
              <w:t>Phelix Power Futures (Saksamaa)</w:t>
            </w:r>
          </w:p>
        </w:tc>
        <w:tc>
          <w:tcPr>
            <w:tcW w:w="1417" w:type="dxa"/>
            <w:vAlign w:val="center"/>
          </w:tcPr>
          <w:p w14:paraId="4D7B6867" w14:textId="20E570B4" w:rsidR="00115F7C" w:rsidRPr="00D231C5" w:rsidRDefault="000A678E" w:rsidP="00BD5398">
            <w:pPr>
              <w:pStyle w:val="NoSpacing"/>
              <w:spacing w:before="60" w:after="60"/>
              <w:jc w:val="center"/>
              <w:rPr>
                <w:sz w:val="16"/>
                <w:szCs w:val="16"/>
              </w:rPr>
            </w:pPr>
            <w:r>
              <w:rPr>
                <w:sz w:val="16"/>
                <w:szCs w:val="16"/>
              </w:rPr>
              <w:t>23,59/29,91</w:t>
            </w:r>
          </w:p>
        </w:tc>
        <w:tc>
          <w:tcPr>
            <w:tcW w:w="1271" w:type="dxa"/>
            <w:vAlign w:val="center"/>
          </w:tcPr>
          <w:p w14:paraId="1261214B" w14:textId="538920DF" w:rsidR="00115F7C" w:rsidRPr="00D231C5" w:rsidRDefault="000A678E" w:rsidP="00BD5398">
            <w:pPr>
              <w:pStyle w:val="NoSpacing"/>
              <w:spacing w:before="60" w:after="60"/>
              <w:jc w:val="center"/>
              <w:rPr>
                <w:sz w:val="16"/>
                <w:szCs w:val="16"/>
              </w:rPr>
            </w:pPr>
            <w:r>
              <w:rPr>
                <w:sz w:val="16"/>
                <w:szCs w:val="16"/>
              </w:rPr>
              <w:t>26,61/33,72</w:t>
            </w:r>
          </w:p>
        </w:tc>
      </w:tr>
      <w:tr w:rsidR="00115F7C" w:rsidRPr="00D231C5" w14:paraId="2C3D5516" w14:textId="77777777" w:rsidTr="00AA7808">
        <w:tc>
          <w:tcPr>
            <w:tcW w:w="1985" w:type="dxa"/>
            <w:vAlign w:val="center"/>
          </w:tcPr>
          <w:p w14:paraId="46E3584C" w14:textId="11E98823" w:rsidR="00115F7C" w:rsidRPr="00D231C5" w:rsidRDefault="000A678E" w:rsidP="000A678E">
            <w:pPr>
              <w:pStyle w:val="NoSpacing"/>
              <w:spacing w:before="60" w:after="60"/>
              <w:jc w:val="left"/>
              <w:rPr>
                <w:sz w:val="16"/>
                <w:szCs w:val="16"/>
              </w:rPr>
            </w:pPr>
            <w:r w:rsidRPr="000A678E">
              <w:rPr>
                <w:sz w:val="16"/>
                <w:szCs w:val="16"/>
              </w:rPr>
              <w:t>French Physical Futures (Prantsusmaa)</w:t>
            </w:r>
          </w:p>
        </w:tc>
        <w:tc>
          <w:tcPr>
            <w:tcW w:w="1417" w:type="dxa"/>
            <w:vAlign w:val="center"/>
          </w:tcPr>
          <w:p w14:paraId="1ABF2D49" w14:textId="46112AA1" w:rsidR="00115F7C" w:rsidRPr="00D231C5" w:rsidRDefault="000A678E" w:rsidP="00BD5398">
            <w:pPr>
              <w:pStyle w:val="NoSpacing"/>
              <w:spacing w:before="60" w:after="60"/>
              <w:jc w:val="center"/>
              <w:rPr>
                <w:sz w:val="16"/>
                <w:szCs w:val="16"/>
              </w:rPr>
            </w:pPr>
            <w:r>
              <w:rPr>
                <w:sz w:val="16"/>
                <w:szCs w:val="16"/>
              </w:rPr>
              <w:t>29,38/38,00</w:t>
            </w:r>
          </w:p>
        </w:tc>
        <w:tc>
          <w:tcPr>
            <w:tcW w:w="1271" w:type="dxa"/>
            <w:vAlign w:val="center"/>
          </w:tcPr>
          <w:p w14:paraId="3338FC8C" w14:textId="3D12416A" w:rsidR="00115F7C" w:rsidRPr="00D231C5" w:rsidRDefault="000A678E" w:rsidP="00BD5398">
            <w:pPr>
              <w:pStyle w:val="NoSpacing"/>
              <w:spacing w:before="60" w:after="60"/>
              <w:jc w:val="center"/>
              <w:rPr>
                <w:sz w:val="16"/>
                <w:szCs w:val="16"/>
              </w:rPr>
            </w:pPr>
            <w:r>
              <w:rPr>
                <w:sz w:val="16"/>
                <w:szCs w:val="16"/>
              </w:rPr>
              <w:t>33,50/42,75</w:t>
            </w:r>
          </w:p>
        </w:tc>
      </w:tr>
    </w:tbl>
    <w:p w14:paraId="31C120F4" w14:textId="77777777" w:rsidR="00A0454C" w:rsidRDefault="00A0454C" w:rsidP="0022344D"/>
    <w:p w14:paraId="7D135EA0" w14:textId="77777777" w:rsidR="00A0454C" w:rsidRDefault="00A0454C" w:rsidP="0022344D"/>
    <w:p w14:paraId="4934D4EC" w14:textId="03AE3C03" w:rsidR="00157C62" w:rsidRDefault="00157C62" w:rsidP="00157C62">
      <w:pPr>
        <w:pStyle w:val="Heading2"/>
      </w:pPr>
      <w:r>
        <w:t>Limiteeritud PTR-ide oksjon Eesti-Läti piiril</w:t>
      </w:r>
    </w:p>
    <w:p w14:paraId="6B2229FE" w14:textId="1B6C3890" w:rsidR="00A0454C" w:rsidRDefault="00157C62" w:rsidP="00157C62">
      <w:r w:rsidRPr="00157C62">
        <w:t xml:space="preserve">Eesti ja Läti süsteemihaldurite Elering ja Augstsprieguma tīkls kokkuleppe kohaselt rakendatakse Eesti ja Läti vahelisel piiril osaliselt võimsuste limiteeritud otsest jaotusmehhanismi. </w:t>
      </w:r>
      <w:r w:rsidR="00AA7808">
        <w:t>22</w:t>
      </w:r>
      <w:r w:rsidRPr="00157C62">
        <w:t xml:space="preserve">. </w:t>
      </w:r>
      <w:r w:rsidR="00AA7808">
        <w:t>oktoo</w:t>
      </w:r>
      <w:r w:rsidRPr="00157C62">
        <w:t>bril 201</w:t>
      </w:r>
      <w:r w:rsidR="00AA7808">
        <w:t>5</w:t>
      </w:r>
      <w:r w:rsidRPr="00157C62">
        <w:t xml:space="preserve"> oli oksjonil müügis </w:t>
      </w:r>
      <w:r w:rsidR="00AA7808">
        <w:t>3</w:t>
      </w:r>
      <w:r w:rsidRPr="00157C62">
        <w:t>00 MW ulatuses limiteeritud PTR-e 201</w:t>
      </w:r>
      <w:r w:rsidR="00AA7808">
        <w:t>6</w:t>
      </w:r>
      <w:r w:rsidRPr="00157C62">
        <w:t xml:space="preserve">. aasta igaks tunniks ning hinnaks kujunes </w:t>
      </w:r>
      <w:r w:rsidR="00AA7808">
        <w:t>4,55</w:t>
      </w:r>
      <w:r w:rsidRPr="00157C62">
        <w:t xml:space="preserve"> eurot megavatt-tunni kohta. </w:t>
      </w:r>
      <w:r w:rsidR="00AA7808">
        <w:t>9. detsembril</w:t>
      </w:r>
      <w:r w:rsidRPr="00157C62">
        <w:t xml:space="preserve"> müüdi 100 MW PTR-e 201</w:t>
      </w:r>
      <w:r w:rsidR="00AA7808">
        <w:t>6</w:t>
      </w:r>
      <w:r w:rsidRPr="00157C62">
        <w:t xml:space="preserve">. aasta </w:t>
      </w:r>
      <w:r w:rsidR="00AA7808">
        <w:t xml:space="preserve">esimese </w:t>
      </w:r>
      <w:r w:rsidRPr="00157C62">
        <w:t xml:space="preserve">kvartali igaks tunniks ja hinnaks kujunes </w:t>
      </w:r>
      <w:r w:rsidR="00AA7808">
        <w:t>2,42</w:t>
      </w:r>
      <w:r w:rsidRPr="00157C62">
        <w:t xml:space="preserve"> eurot megavatt-tunni kohta. 1</w:t>
      </w:r>
      <w:r w:rsidR="00AA7808">
        <w:t>6</w:t>
      </w:r>
      <w:r w:rsidRPr="00157C62">
        <w:t xml:space="preserve">. </w:t>
      </w:r>
      <w:r w:rsidR="00AA7808">
        <w:t>dets</w:t>
      </w:r>
      <w:r>
        <w:t>em</w:t>
      </w:r>
      <w:r w:rsidRPr="00157C62">
        <w:t>bri oksjonil müüdi 1</w:t>
      </w:r>
      <w:r w:rsidR="00AA7808">
        <w:t>0</w:t>
      </w:r>
      <w:r w:rsidRPr="00157C62">
        <w:t>0 MW PTR-e 201</w:t>
      </w:r>
      <w:r w:rsidR="00AA7808">
        <w:t>6</w:t>
      </w:r>
      <w:r w:rsidRPr="00157C62">
        <w:t xml:space="preserve">. aasta </w:t>
      </w:r>
      <w:r w:rsidR="00AA7808">
        <w:t>jaanuari</w:t>
      </w:r>
      <w:r w:rsidRPr="00157C62">
        <w:t xml:space="preserve"> igaks tunniks. Oksjonil osales </w:t>
      </w:r>
      <w:r w:rsidR="00AA7808">
        <w:t>üheksa</w:t>
      </w:r>
      <w:r w:rsidRPr="00157C62">
        <w:t xml:space="preserve"> turuosalist, </w:t>
      </w:r>
      <w:r>
        <w:t xml:space="preserve">kellest </w:t>
      </w:r>
      <w:r w:rsidR="00AA7808">
        <w:t>seitsm</w:t>
      </w:r>
      <w:r>
        <w:t xml:space="preserve">e </w:t>
      </w:r>
      <w:r w:rsidRPr="00157C62">
        <w:t xml:space="preserve">pakkumused osutusid edukaks. PTR-L </w:t>
      </w:r>
      <w:r w:rsidR="00AA7808">
        <w:t>Jan</w:t>
      </w:r>
      <w:r w:rsidRPr="00157C62">
        <w:t>-201</w:t>
      </w:r>
      <w:r w:rsidR="00AA7808">
        <w:t>6</w:t>
      </w:r>
      <w:r w:rsidRPr="00157C62">
        <w:t xml:space="preserve"> hinnaks kujunes </w:t>
      </w:r>
      <w:r w:rsidR="00AA7808">
        <w:t>3,40</w:t>
      </w:r>
      <w:r w:rsidRPr="00157C62">
        <w:t xml:space="preserve"> eurot megavati kohta iga tunni jaoks.</w:t>
      </w:r>
    </w:p>
    <w:p w14:paraId="18B1D782" w14:textId="77777777" w:rsidR="00A0454C" w:rsidRDefault="00A0454C" w:rsidP="0022344D"/>
    <w:p w14:paraId="79A54ECB" w14:textId="796F60AB" w:rsidR="00A0454C" w:rsidRDefault="00AA7808" w:rsidP="0022344D">
      <w:r>
        <w:t>Jaanuari</w:t>
      </w:r>
      <w:r w:rsidR="00157C62">
        <w:t xml:space="preserve"> t</w:t>
      </w:r>
      <w:r w:rsidR="00157C62" w:rsidRPr="00157C62">
        <w:t>egelikuks keskmiseks hinnaerinevuseks N</w:t>
      </w:r>
      <w:r>
        <w:t xml:space="preserve">ord </w:t>
      </w:r>
      <w:r w:rsidR="00157C62" w:rsidRPr="00157C62">
        <w:t>P</w:t>
      </w:r>
      <w:r>
        <w:t>ool elektribörsi</w:t>
      </w:r>
      <w:r w:rsidR="00157C62" w:rsidRPr="00157C62">
        <w:t xml:space="preserve"> Eesti ja Läti hinnapiirkondade vahel kujunes </w:t>
      </w:r>
      <w:r>
        <w:t xml:space="preserve">12,38 </w:t>
      </w:r>
      <w:r w:rsidR="00157C62" w:rsidRPr="00157C62">
        <w:t xml:space="preserve">€/MW ühe tunni kohta. Seega maksid süsteemihaldurid limiteeritud PTR-e ostnud turuosalistele aastase toote eest </w:t>
      </w:r>
      <w:r>
        <w:t>1,75 mln</w:t>
      </w:r>
      <w:r w:rsidR="00157C62" w:rsidRPr="00157C62">
        <w:t xml:space="preserve"> eurot, kvartali toote eest </w:t>
      </w:r>
      <w:r>
        <w:t>0,74 mln</w:t>
      </w:r>
      <w:r w:rsidR="00157C62" w:rsidRPr="00157C62">
        <w:t xml:space="preserve"> eurot ja kuu toote eest </w:t>
      </w:r>
      <w:r>
        <w:t>0,67 mln</w:t>
      </w:r>
      <w:r w:rsidR="00157C62" w:rsidRPr="00157C62">
        <w:t xml:space="preserve"> eurot.</w:t>
      </w:r>
    </w:p>
    <w:p w14:paraId="55CCC744" w14:textId="77777777" w:rsidR="00A0454C" w:rsidRDefault="00A0454C" w:rsidP="0022344D"/>
    <w:p w14:paraId="2C056FEB" w14:textId="6A4D8D74" w:rsidR="00A0454C" w:rsidRDefault="003D66E5" w:rsidP="00BA7A51">
      <w:pPr>
        <w:spacing w:after="40"/>
      </w:pPr>
      <w:r>
        <w:rPr>
          <w:noProof/>
        </w:rPr>
        <w:lastRenderedPageBreak/>
        <w:drawing>
          <wp:inline distT="0" distB="0" distL="0" distR="0" wp14:anchorId="7F847D9C" wp14:editId="6C1E87D3">
            <wp:extent cx="29718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2EB7FA9" w14:textId="0CBC1156" w:rsidR="00157C62" w:rsidRDefault="00340A89" w:rsidP="0022344D">
      <w:r w:rsidRPr="00340A89">
        <w:rPr>
          <w:rStyle w:val="SubtleEmphasis"/>
        </w:rPr>
        <w:t>Limiteeritud PTR võrdlus</w:t>
      </w:r>
      <w:r w:rsidR="003D66E5">
        <w:rPr>
          <w:rStyle w:val="SubtleEmphasis"/>
        </w:rPr>
        <w:t xml:space="preserve"> Nord Pool</w:t>
      </w:r>
      <w:r w:rsidRPr="00340A89">
        <w:rPr>
          <w:rStyle w:val="SubtleEmphasis"/>
        </w:rPr>
        <w:t xml:space="preserve"> Eesti ja Läti hinnapiirkonna hinnaerinevusega 201</w:t>
      </w:r>
      <w:r w:rsidR="003D66E5">
        <w:rPr>
          <w:rStyle w:val="SubtleEmphasis"/>
        </w:rPr>
        <w:t>6</w:t>
      </w:r>
      <w:r w:rsidRPr="00340A89">
        <w:rPr>
          <w:rStyle w:val="SubtleEmphasis"/>
        </w:rPr>
        <w:t xml:space="preserve">. a </w:t>
      </w:r>
      <w:r w:rsidR="003D66E5">
        <w:rPr>
          <w:rStyle w:val="SubtleEmphasis"/>
        </w:rPr>
        <w:t>jaanua</w:t>
      </w:r>
      <w:r>
        <w:rPr>
          <w:rStyle w:val="SubtleEmphasis"/>
        </w:rPr>
        <w:t>ris</w:t>
      </w:r>
    </w:p>
    <w:p w14:paraId="1FB4E408" w14:textId="77777777" w:rsidR="00D76AC2" w:rsidRDefault="00D76AC2" w:rsidP="0022344D"/>
    <w:p w14:paraId="71B88127" w14:textId="5FB9838D" w:rsidR="00340A89" w:rsidRDefault="00AA7808" w:rsidP="00340A89">
      <w:r>
        <w:t>Jaanuaris</w:t>
      </w:r>
      <w:r w:rsidR="00024469">
        <w:t xml:space="preserve"> </w:t>
      </w:r>
      <w:r w:rsidR="00340A89">
        <w:t>toimus PTR-ide oksjon</w:t>
      </w:r>
      <w:r w:rsidR="00024469">
        <w:t xml:space="preserve"> </w:t>
      </w:r>
      <w:r>
        <w:t>veebr</w:t>
      </w:r>
      <w:r w:rsidR="00024469">
        <w:t>ua</w:t>
      </w:r>
      <w:r w:rsidR="00340A89">
        <w:t xml:space="preserve">ri võimsusele. </w:t>
      </w:r>
      <w:r>
        <w:t>13</w:t>
      </w:r>
      <w:r w:rsidR="00340A89">
        <w:t xml:space="preserve">. </w:t>
      </w:r>
      <w:r>
        <w:t>jaanua</w:t>
      </w:r>
      <w:r w:rsidR="00340A89">
        <w:t>ril toimunud oksjonil oli müügis 1</w:t>
      </w:r>
      <w:r>
        <w:t>5</w:t>
      </w:r>
      <w:r w:rsidR="00340A89">
        <w:t xml:space="preserve">0 MW </w:t>
      </w:r>
      <w:r w:rsidR="00024469">
        <w:t xml:space="preserve">igaks 2016. a </w:t>
      </w:r>
      <w:r>
        <w:t>veebr</w:t>
      </w:r>
      <w:r w:rsidR="00024469">
        <w:t>uarikuu tun</w:t>
      </w:r>
      <w:r w:rsidR="008E55A4">
        <w:softHyphen/>
      </w:r>
      <w:r w:rsidR="00024469">
        <w:t xml:space="preserve">niks, osales kokku </w:t>
      </w:r>
      <w:r>
        <w:t>11</w:t>
      </w:r>
      <w:r w:rsidR="00024469">
        <w:t xml:space="preserve"> turuosalist, </w:t>
      </w:r>
      <w:r>
        <w:t xml:space="preserve">üheksa </w:t>
      </w:r>
      <w:r w:rsidR="00024469">
        <w:t>pakkumu</w:t>
      </w:r>
      <w:r w:rsidR="003E7A6C">
        <w:softHyphen/>
      </w:r>
      <w:r w:rsidR="00024469">
        <w:t>sed olid edukad, toote hinnaks kujunes 3,0</w:t>
      </w:r>
      <w:r>
        <w:t>3</w:t>
      </w:r>
      <w:r w:rsidR="00024469">
        <w:t xml:space="preserve"> €/MW tunni kohta.</w:t>
      </w:r>
    </w:p>
    <w:p w14:paraId="4E3FB2F9" w14:textId="77777777" w:rsidR="00340A89" w:rsidRDefault="00340A89" w:rsidP="00340A89"/>
    <w:p w14:paraId="28F03AA1" w14:textId="191F6D47" w:rsidR="00157C62" w:rsidRDefault="00340A89" w:rsidP="00340A89">
      <w:r>
        <w:t>Täiendav teave oksjoni tulemuste, tingimuste, kalendri ja registreerimisvormi koht</w:t>
      </w:r>
      <w:r w:rsidR="00024469">
        <w:t xml:space="preserve">a on kättesaadav Eleringi </w:t>
      </w:r>
      <w:hyperlink r:id="rId28" w:history="1">
        <w:r w:rsidR="00024469" w:rsidRPr="00024469">
          <w:rPr>
            <w:rStyle w:val="Hyperlink"/>
          </w:rPr>
          <w:t>veebi</w:t>
        </w:r>
        <w:r w:rsidR="00024469">
          <w:rPr>
            <w:rStyle w:val="Hyperlink"/>
          </w:rPr>
          <w:softHyphen/>
        </w:r>
        <w:r w:rsidRPr="00024469">
          <w:rPr>
            <w:rStyle w:val="Hyperlink"/>
          </w:rPr>
          <w:t>lehel</w:t>
        </w:r>
      </w:hyperlink>
      <w:r w:rsidR="00024469">
        <w:t>.</w:t>
      </w:r>
    </w:p>
    <w:p w14:paraId="5FEFCCCA" w14:textId="77777777" w:rsidR="00024469" w:rsidRDefault="00024469" w:rsidP="00340A89"/>
    <w:p w14:paraId="1645795F" w14:textId="77777777" w:rsidR="005D3A6D" w:rsidRDefault="005D3A6D" w:rsidP="00340A89"/>
    <w:p w14:paraId="024DF4F4" w14:textId="77777777" w:rsidR="005D3A6D" w:rsidRDefault="005D3A6D" w:rsidP="00340A89"/>
    <w:p w14:paraId="77491AFB" w14:textId="0416D54D" w:rsidR="005D3A6D" w:rsidRPr="005D3A6D" w:rsidRDefault="005D3A6D" w:rsidP="005D3A6D">
      <w:pPr>
        <w:rPr>
          <w:rStyle w:val="SubtleEmphasis"/>
        </w:rPr>
      </w:pPr>
      <w:r w:rsidRPr="005D3A6D">
        <w:rPr>
          <w:rStyle w:val="SubtleEmphasis"/>
        </w:rPr>
        <w:t>Allikad</w:t>
      </w:r>
      <w:r>
        <w:rPr>
          <w:rStyle w:val="SubtleEmphasis"/>
        </w:rPr>
        <w:t>:</w:t>
      </w:r>
    </w:p>
    <w:p w14:paraId="3D5A95F1" w14:textId="2572F6DC" w:rsidR="005D3A6D" w:rsidRPr="005D3A6D" w:rsidRDefault="005D3A6D" w:rsidP="005D3A6D">
      <w:pPr>
        <w:rPr>
          <w:rStyle w:val="SubtleEmphasis"/>
        </w:rPr>
      </w:pPr>
      <w:r w:rsidRPr="005D3A6D">
        <w:rPr>
          <w:rStyle w:val="SubtleEmphasis"/>
        </w:rPr>
        <w:t>Nord Pool, Elering, Augstsprieguma tīkls, Litgrid, Fingrid, European Energy Exchange, Nasdaq OMX</w:t>
      </w:r>
    </w:p>
    <w:p w14:paraId="7B01ACC2" w14:textId="77777777" w:rsidR="005D3A6D" w:rsidRDefault="005D3A6D" w:rsidP="005D3A6D">
      <w:pPr>
        <w:rPr>
          <w:rStyle w:val="SubtleEmphasis"/>
        </w:rPr>
      </w:pPr>
    </w:p>
    <w:p w14:paraId="3A4C0495" w14:textId="43790896" w:rsidR="005D3A6D" w:rsidRPr="005D3A6D" w:rsidRDefault="005D3A6D" w:rsidP="005D3A6D">
      <w:pPr>
        <w:rPr>
          <w:rStyle w:val="SubtleEmphasis"/>
        </w:rPr>
      </w:pPr>
      <w:r w:rsidRPr="005D3A6D">
        <w:rPr>
          <w:rStyle w:val="SubtleEmphasis"/>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sectPr w:rsidR="005D3A6D" w:rsidRPr="005D3A6D" w:rsidSect="00586362">
      <w:headerReference w:type="even" r:id="rId29"/>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62D30" w14:textId="77777777" w:rsidR="00B77FE7" w:rsidRDefault="00B77FE7" w:rsidP="0022344D">
      <w:r>
        <w:separator/>
      </w:r>
    </w:p>
    <w:p w14:paraId="70A0567D" w14:textId="77777777" w:rsidR="00B77FE7" w:rsidRDefault="00B77FE7" w:rsidP="0022344D"/>
    <w:p w14:paraId="5222E143" w14:textId="77777777" w:rsidR="00B77FE7" w:rsidRDefault="00B77FE7" w:rsidP="0022344D"/>
    <w:p w14:paraId="1F2897BD" w14:textId="77777777" w:rsidR="00B77FE7" w:rsidRDefault="00B77FE7" w:rsidP="0022344D"/>
    <w:p w14:paraId="735203AD" w14:textId="77777777" w:rsidR="00B77FE7" w:rsidRDefault="00B77FE7" w:rsidP="0022344D"/>
    <w:p w14:paraId="2C63F1C5" w14:textId="77777777" w:rsidR="00B77FE7" w:rsidRDefault="00B77FE7" w:rsidP="0022344D"/>
    <w:p w14:paraId="113ED807" w14:textId="77777777" w:rsidR="00B77FE7" w:rsidRDefault="00B77FE7" w:rsidP="0022344D"/>
    <w:p w14:paraId="32F246A1" w14:textId="77777777" w:rsidR="00B77FE7" w:rsidRDefault="00B77FE7" w:rsidP="0022344D"/>
    <w:p w14:paraId="138C7046" w14:textId="77777777" w:rsidR="00B77FE7" w:rsidRDefault="00B77FE7" w:rsidP="0022344D"/>
    <w:p w14:paraId="0DBBE27B" w14:textId="77777777" w:rsidR="00B77FE7" w:rsidRDefault="00B77FE7" w:rsidP="0022344D"/>
    <w:p w14:paraId="7BEC533C" w14:textId="77777777" w:rsidR="00B77FE7" w:rsidRDefault="00B77FE7" w:rsidP="0022344D"/>
    <w:p w14:paraId="34421ABC" w14:textId="77777777" w:rsidR="00B77FE7" w:rsidRDefault="00B77FE7" w:rsidP="0022344D"/>
    <w:p w14:paraId="67087463" w14:textId="77777777" w:rsidR="00B77FE7" w:rsidRDefault="00B77FE7" w:rsidP="0022344D"/>
    <w:p w14:paraId="4A65EEDA" w14:textId="77777777" w:rsidR="00B77FE7" w:rsidRDefault="00B77FE7" w:rsidP="0022344D"/>
    <w:p w14:paraId="438908D2" w14:textId="77777777" w:rsidR="00B77FE7" w:rsidRDefault="00B77FE7" w:rsidP="0022344D"/>
    <w:p w14:paraId="7B244224" w14:textId="77777777" w:rsidR="00B77FE7" w:rsidRDefault="00B77FE7" w:rsidP="0022344D"/>
    <w:p w14:paraId="390A67D3" w14:textId="77777777" w:rsidR="00B77FE7" w:rsidRDefault="00B77FE7" w:rsidP="0022344D"/>
    <w:p w14:paraId="5F3DD029" w14:textId="77777777" w:rsidR="00B77FE7" w:rsidRDefault="00B77FE7" w:rsidP="0022344D"/>
    <w:p w14:paraId="61678BCF" w14:textId="77777777" w:rsidR="00B77FE7" w:rsidRDefault="00B77FE7" w:rsidP="0022344D"/>
    <w:p w14:paraId="5C6B7903" w14:textId="77777777" w:rsidR="00B77FE7" w:rsidRDefault="00B77FE7" w:rsidP="0022344D"/>
    <w:p w14:paraId="220E48C0" w14:textId="77777777" w:rsidR="00B77FE7" w:rsidRDefault="00B77FE7" w:rsidP="0022344D"/>
    <w:p w14:paraId="1909AD5E" w14:textId="77777777" w:rsidR="00B77FE7" w:rsidRDefault="00B77FE7" w:rsidP="0022344D"/>
    <w:p w14:paraId="234CAACB" w14:textId="77777777" w:rsidR="00B77FE7" w:rsidRDefault="00B77FE7" w:rsidP="0022344D"/>
    <w:p w14:paraId="4F40F7B3" w14:textId="77777777" w:rsidR="00B77FE7" w:rsidRDefault="00B77FE7" w:rsidP="0022344D"/>
    <w:p w14:paraId="0A6B7296" w14:textId="77777777" w:rsidR="00B77FE7" w:rsidRDefault="00B77FE7" w:rsidP="0022344D"/>
    <w:p w14:paraId="57178ED3" w14:textId="77777777" w:rsidR="00B77FE7" w:rsidRDefault="00B77FE7" w:rsidP="0022344D"/>
    <w:p w14:paraId="3DCF268B" w14:textId="77777777" w:rsidR="00B77FE7" w:rsidRDefault="00B77FE7" w:rsidP="0022344D"/>
    <w:p w14:paraId="4F067FEE" w14:textId="77777777" w:rsidR="00B77FE7" w:rsidRDefault="00B77FE7" w:rsidP="0022344D"/>
    <w:p w14:paraId="4766BAB5" w14:textId="77777777" w:rsidR="00B77FE7" w:rsidRDefault="00B77FE7" w:rsidP="0022344D"/>
    <w:p w14:paraId="4B158526" w14:textId="77777777" w:rsidR="00B77FE7" w:rsidRDefault="00B77FE7" w:rsidP="0022344D"/>
    <w:p w14:paraId="13A1E304" w14:textId="77777777" w:rsidR="00B77FE7" w:rsidRDefault="00B77FE7" w:rsidP="0022344D"/>
    <w:p w14:paraId="448ECC9F" w14:textId="77777777" w:rsidR="00B77FE7" w:rsidRDefault="00B77FE7" w:rsidP="0022344D"/>
    <w:p w14:paraId="354CC422" w14:textId="77777777" w:rsidR="00B77FE7" w:rsidRDefault="00B77FE7" w:rsidP="0022344D"/>
    <w:p w14:paraId="5D0D140E" w14:textId="77777777" w:rsidR="00B77FE7" w:rsidRDefault="00B77FE7" w:rsidP="0022344D"/>
    <w:p w14:paraId="59C756C5" w14:textId="77777777" w:rsidR="00B77FE7" w:rsidRDefault="00B77FE7" w:rsidP="0022344D"/>
    <w:p w14:paraId="4F589CCE" w14:textId="77777777" w:rsidR="00B77FE7" w:rsidRDefault="00B77FE7" w:rsidP="0022344D"/>
    <w:p w14:paraId="1584717E" w14:textId="77777777" w:rsidR="00B77FE7" w:rsidRDefault="00B77FE7" w:rsidP="0022344D"/>
    <w:p w14:paraId="15029C68" w14:textId="77777777" w:rsidR="00B77FE7" w:rsidRDefault="00B77FE7" w:rsidP="0022344D"/>
    <w:p w14:paraId="20370D03" w14:textId="77777777" w:rsidR="00B77FE7" w:rsidRDefault="00B77FE7" w:rsidP="0022344D"/>
    <w:p w14:paraId="7AFAEDA6" w14:textId="77777777" w:rsidR="00B77FE7" w:rsidRDefault="00B77FE7" w:rsidP="0022344D"/>
    <w:p w14:paraId="077BF70A" w14:textId="77777777" w:rsidR="00B77FE7" w:rsidRDefault="00B77FE7" w:rsidP="0022344D"/>
    <w:p w14:paraId="39C0E62B" w14:textId="77777777" w:rsidR="00B77FE7" w:rsidRDefault="00B77FE7" w:rsidP="0022344D"/>
    <w:p w14:paraId="384AC78E" w14:textId="77777777" w:rsidR="00B77FE7" w:rsidRDefault="00B77FE7" w:rsidP="0022344D"/>
    <w:p w14:paraId="27D65473" w14:textId="77777777" w:rsidR="00B77FE7" w:rsidRDefault="00B77FE7" w:rsidP="0022344D"/>
    <w:p w14:paraId="64728CA7" w14:textId="77777777" w:rsidR="00B77FE7" w:rsidRDefault="00B77FE7" w:rsidP="0022344D"/>
    <w:p w14:paraId="198ACA72" w14:textId="77777777" w:rsidR="00B77FE7" w:rsidRDefault="00B77FE7" w:rsidP="0022344D"/>
    <w:p w14:paraId="7C8540D7" w14:textId="77777777" w:rsidR="00B77FE7" w:rsidRDefault="00B77FE7" w:rsidP="0022344D"/>
    <w:p w14:paraId="1F15789C" w14:textId="77777777" w:rsidR="00B77FE7" w:rsidRDefault="00B77FE7" w:rsidP="0022344D"/>
    <w:p w14:paraId="15C0BFEE" w14:textId="77777777" w:rsidR="00B77FE7" w:rsidRDefault="00B77FE7" w:rsidP="0022344D"/>
    <w:p w14:paraId="1E8FDD56" w14:textId="77777777" w:rsidR="00B77FE7" w:rsidRDefault="00B77FE7" w:rsidP="0022344D"/>
    <w:p w14:paraId="102AF7D9" w14:textId="77777777" w:rsidR="00B77FE7" w:rsidRDefault="00B77FE7" w:rsidP="0022344D"/>
    <w:p w14:paraId="5B72FDDF" w14:textId="77777777" w:rsidR="00B77FE7" w:rsidRDefault="00B77FE7" w:rsidP="0022344D"/>
    <w:p w14:paraId="65823D22" w14:textId="77777777" w:rsidR="00B77FE7" w:rsidRDefault="00B77FE7" w:rsidP="0022344D"/>
    <w:p w14:paraId="50703B7C" w14:textId="77777777" w:rsidR="00B77FE7" w:rsidRDefault="00B77FE7" w:rsidP="0022344D"/>
    <w:p w14:paraId="7CA6E0BB" w14:textId="77777777" w:rsidR="00B77FE7" w:rsidRDefault="00B77FE7" w:rsidP="0022344D"/>
    <w:p w14:paraId="29085A39" w14:textId="77777777" w:rsidR="00B77FE7" w:rsidRDefault="00B77FE7" w:rsidP="0022344D"/>
    <w:p w14:paraId="407A12F3" w14:textId="77777777" w:rsidR="00B77FE7" w:rsidRDefault="00B77FE7" w:rsidP="0022344D"/>
    <w:p w14:paraId="2635D0BE" w14:textId="77777777" w:rsidR="00B77FE7" w:rsidRDefault="00B77FE7" w:rsidP="0022344D"/>
    <w:p w14:paraId="7995C20A" w14:textId="77777777" w:rsidR="00B77FE7" w:rsidRDefault="00B77FE7" w:rsidP="0022344D"/>
    <w:p w14:paraId="0142029B" w14:textId="77777777" w:rsidR="00B77FE7" w:rsidRDefault="00B77FE7" w:rsidP="0022344D"/>
    <w:p w14:paraId="5C6AA948" w14:textId="77777777" w:rsidR="00B77FE7" w:rsidRDefault="00B77FE7" w:rsidP="0022344D"/>
    <w:p w14:paraId="02ED191C" w14:textId="77777777" w:rsidR="00B77FE7" w:rsidRDefault="00B77FE7" w:rsidP="0022344D"/>
    <w:p w14:paraId="5CE8FFF7" w14:textId="77777777" w:rsidR="00B77FE7" w:rsidRDefault="00B77FE7" w:rsidP="0022344D"/>
    <w:p w14:paraId="71B09ACB" w14:textId="77777777" w:rsidR="00B77FE7" w:rsidRDefault="00B77FE7" w:rsidP="0022344D"/>
    <w:p w14:paraId="1F2F5C74" w14:textId="77777777" w:rsidR="00B77FE7" w:rsidRDefault="00B77FE7" w:rsidP="0022344D"/>
    <w:p w14:paraId="76FA879C" w14:textId="77777777" w:rsidR="00B77FE7" w:rsidRDefault="00B77FE7" w:rsidP="0022344D"/>
    <w:p w14:paraId="043151BA" w14:textId="77777777" w:rsidR="00B77FE7" w:rsidRDefault="00B77FE7" w:rsidP="0022344D"/>
    <w:p w14:paraId="73190F2E" w14:textId="77777777" w:rsidR="00B77FE7" w:rsidRDefault="00B77FE7" w:rsidP="0022344D"/>
    <w:p w14:paraId="236843E9" w14:textId="77777777" w:rsidR="00B77FE7" w:rsidRDefault="00B77FE7" w:rsidP="0022344D"/>
    <w:p w14:paraId="72020035" w14:textId="77777777" w:rsidR="00B77FE7" w:rsidRDefault="00B77FE7" w:rsidP="0022344D"/>
    <w:p w14:paraId="51CEE4CB" w14:textId="77777777" w:rsidR="00B77FE7" w:rsidRDefault="00B77FE7" w:rsidP="0022344D"/>
    <w:p w14:paraId="092C1D09" w14:textId="77777777" w:rsidR="00B77FE7" w:rsidRDefault="00B77FE7" w:rsidP="0022344D"/>
    <w:p w14:paraId="7C629B36" w14:textId="77777777" w:rsidR="00B77FE7" w:rsidRDefault="00B77FE7" w:rsidP="0022344D"/>
    <w:p w14:paraId="6DE9689E" w14:textId="77777777" w:rsidR="00B77FE7" w:rsidRDefault="00B77FE7" w:rsidP="0022344D"/>
    <w:p w14:paraId="2E5F54EF" w14:textId="77777777" w:rsidR="00B77FE7" w:rsidRDefault="00B77FE7"/>
    <w:p w14:paraId="1A4A1F15" w14:textId="77777777" w:rsidR="00B77FE7" w:rsidRDefault="00B77FE7"/>
    <w:p w14:paraId="28971C55" w14:textId="77777777" w:rsidR="00B77FE7" w:rsidRDefault="00B77FE7" w:rsidP="00BD5398"/>
    <w:p w14:paraId="4826A918" w14:textId="77777777" w:rsidR="00B77FE7" w:rsidRDefault="00B77FE7" w:rsidP="00BD5398"/>
    <w:p w14:paraId="0E31CAC0" w14:textId="77777777" w:rsidR="00B77FE7" w:rsidRDefault="00B77FE7" w:rsidP="00BD5398"/>
  </w:endnote>
  <w:endnote w:type="continuationSeparator" w:id="0">
    <w:p w14:paraId="3CC3A3D9" w14:textId="77777777" w:rsidR="00B77FE7" w:rsidRDefault="00B77FE7" w:rsidP="0022344D">
      <w:r>
        <w:continuationSeparator/>
      </w:r>
    </w:p>
    <w:p w14:paraId="387196B9" w14:textId="77777777" w:rsidR="00B77FE7" w:rsidRDefault="00B77FE7" w:rsidP="0022344D"/>
    <w:p w14:paraId="78AFF758" w14:textId="77777777" w:rsidR="00B77FE7" w:rsidRDefault="00B77FE7" w:rsidP="0022344D"/>
    <w:p w14:paraId="11B0D765" w14:textId="77777777" w:rsidR="00B77FE7" w:rsidRDefault="00B77FE7" w:rsidP="0022344D"/>
    <w:p w14:paraId="4843EADF" w14:textId="77777777" w:rsidR="00B77FE7" w:rsidRDefault="00B77FE7" w:rsidP="0022344D"/>
    <w:p w14:paraId="70965B27" w14:textId="77777777" w:rsidR="00B77FE7" w:rsidRDefault="00B77FE7" w:rsidP="0022344D"/>
    <w:p w14:paraId="5333E7D2" w14:textId="77777777" w:rsidR="00B77FE7" w:rsidRDefault="00B77FE7" w:rsidP="0022344D"/>
    <w:p w14:paraId="0951387C" w14:textId="77777777" w:rsidR="00B77FE7" w:rsidRDefault="00B77FE7" w:rsidP="0022344D"/>
    <w:p w14:paraId="0BF0B4AF" w14:textId="77777777" w:rsidR="00B77FE7" w:rsidRDefault="00B77FE7" w:rsidP="0022344D"/>
    <w:p w14:paraId="2C504390" w14:textId="77777777" w:rsidR="00B77FE7" w:rsidRDefault="00B77FE7" w:rsidP="0022344D"/>
    <w:p w14:paraId="1E3CC8AD" w14:textId="77777777" w:rsidR="00B77FE7" w:rsidRDefault="00B77FE7" w:rsidP="0022344D"/>
    <w:p w14:paraId="1CEB54C4" w14:textId="77777777" w:rsidR="00B77FE7" w:rsidRDefault="00B77FE7" w:rsidP="0022344D"/>
    <w:p w14:paraId="0B1F945C" w14:textId="77777777" w:rsidR="00B77FE7" w:rsidRDefault="00B77FE7" w:rsidP="0022344D"/>
    <w:p w14:paraId="558B46E4" w14:textId="77777777" w:rsidR="00B77FE7" w:rsidRDefault="00B77FE7" w:rsidP="0022344D"/>
    <w:p w14:paraId="5B2B7EE1" w14:textId="77777777" w:rsidR="00B77FE7" w:rsidRDefault="00B77FE7" w:rsidP="0022344D"/>
    <w:p w14:paraId="2EAF66B7" w14:textId="77777777" w:rsidR="00B77FE7" w:rsidRDefault="00B77FE7" w:rsidP="0022344D"/>
    <w:p w14:paraId="1A044051" w14:textId="77777777" w:rsidR="00B77FE7" w:rsidRDefault="00B77FE7" w:rsidP="0022344D"/>
    <w:p w14:paraId="302421FE" w14:textId="77777777" w:rsidR="00B77FE7" w:rsidRDefault="00B77FE7" w:rsidP="0022344D"/>
    <w:p w14:paraId="7538DA72" w14:textId="77777777" w:rsidR="00B77FE7" w:rsidRDefault="00B77FE7" w:rsidP="0022344D"/>
    <w:p w14:paraId="21214B11" w14:textId="77777777" w:rsidR="00B77FE7" w:rsidRDefault="00B77FE7" w:rsidP="0022344D"/>
    <w:p w14:paraId="15498433" w14:textId="77777777" w:rsidR="00B77FE7" w:rsidRDefault="00B77FE7" w:rsidP="0022344D"/>
    <w:p w14:paraId="406154C5" w14:textId="77777777" w:rsidR="00B77FE7" w:rsidRDefault="00B77FE7" w:rsidP="0022344D"/>
    <w:p w14:paraId="70FDE4E7" w14:textId="77777777" w:rsidR="00B77FE7" w:rsidRDefault="00B77FE7" w:rsidP="0022344D"/>
    <w:p w14:paraId="57435BDE" w14:textId="77777777" w:rsidR="00B77FE7" w:rsidRDefault="00B77FE7" w:rsidP="0022344D"/>
    <w:p w14:paraId="4E282758" w14:textId="77777777" w:rsidR="00B77FE7" w:rsidRDefault="00B77FE7" w:rsidP="0022344D"/>
    <w:p w14:paraId="757A30AF" w14:textId="77777777" w:rsidR="00B77FE7" w:rsidRDefault="00B77FE7" w:rsidP="0022344D"/>
    <w:p w14:paraId="6BAAA1FB" w14:textId="77777777" w:rsidR="00B77FE7" w:rsidRDefault="00B77FE7" w:rsidP="0022344D"/>
    <w:p w14:paraId="0C15167E" w14:textId="77777777" w:rsidR="00B77FE7" w:rsidRDefault="00B77FE7" w:rsidP="0022344D"/>
    <w:p w14:paraId="200CA070" w14:textId="77777777" w:rsidR="00B77FE7" w:rsidRDefault="00B77FE7" w:rsidP="0022344D"/>
    <w:p w14:paraId="1F73B92A" w14:textId="77777777" w:rsidR="00B77FE7" w:rsidRDefault="00B77FE7" w:rsidP="0022344D"/>
    <w:p w14:paraId="359336E2" w14:textId="77777777" w:rsidR="00B77FE7" w:rsidRDefault="00B77FE7" w:rsidP="0022344D"/>
    <w:p w14:paraId="6BAD3F89" w14:textId="77777777" w:rsidR="00B77FE7" w:rsidRDefault="00B77FE7" w:rsidP="0022344D"/>
    <w:p w14:paraId="706B56E3" w14:textId="77777777" w:rsidR="00B77FE7" w:rsidRDefault="00B77FE7" w:rsidP="0022344D"/>
    <w:p w14:paraId="60F146DD" w14:textId="77777777" w:rsidR="00B77FE7" w:rsidRDefault="00B77FE7" w:rsidP="0022344D"/>
    <w:p w14:paraId="233864A1" w14:textId="77777777" w:rsidR="00B77FE7" w:rsidRDefault="00B77FE7" w:rsidP="0022344D"/>
    <w:p w14:paraId="45792DE2" w14:textId="77777777" w:rsidR="00B77FE7" w:rsidRDefault="00B77FE7" w:rsidP="0022344D"/>
    <w:p w14:paraId="54E2162F" w14:textId="77777777" w:rsidR="00B77FE7" w:rsidRDefault="00B77FE7" w:rsidP="0022344D"/>
    <w:p w14:paraId="0079F62D" w14:textId="77777777" w:rsidR="00B77FE7" w:rsidRDefault="00B77FE7" w:rsidP="0022344D"/>
    <w:p w14:paraId="61E5BB71" w14:textId="77777777" w:rsidR="00B77FE7" w:rsidRDefault="00B77FE7" w:rsidP="0022344D"/>
    <w:p w14:paraId="4554C681" w14:textId="77777777" w:rsidR="00B77FE7" w:rsidRDefault="00B77FE7" w:rsidP="0022344D"/>
    <w:p w14:paraId="605009BE" w14:textId="77777777" w:rsidR="00B77FE7" w:rsidRDefault="00B77FE7" w:rsidP="0022344D"/>
    <w:p w14:paraId="7992B7C7" w14:textId="77777777" w:rsidR="00B77FE7" w:rsidRDefault="00B77FE7" w:rsidP="0022344D"/>
    <w:p w14:paraId="0CA153DE" w14:textId="77777777" w:rsidR="00B77FE7" w:rsidRDefault="00B77FE7" w:rsidP="0022344D"/>
    <w:p w14:paraId="241B27D1" w14:textId="77777777" w:rsidR="00B77FE7" w:rsidRDefault="00B77FE7" w:rsidP="0022344D"/>
    <w:p w14:paraId="40D3514C" w14:textId="77777777" w:rsidR="00B77FE7" w:rsidRDefault="00B77FE7" w:rsidP="0022344D"/>
    <w:p w14:paraId="05E29852" w14:textId="77777777" w:rsidR="00B77FE7" w:rsidRDefault="00B77FE7" w:rsidP="0022344D"/>
    <w:p w14:paraId="60FA2EBF" w14:textId="77777777" w:rsidR="00B77FE7" w:rsidRDefault="00B77FE7" w:rsidP="0022344D"/>
    <w:p w14:paraId="78E02EA0" w14:textId="77777777" w:rsidR="00B77FE7" w:rsidRDefault="00B77FE7" w:rsidP="0022344D"/>
    <w:p w14:paraId="4B6996C7" w14:textId="77777777" w:rsidR="00B77FE7" w:rsidRDefault="00B77FE7" w:rsidP="0022344D"/>
    <w:p w14:paraId="2CCA244A" w14:textId="77777777" w:rsidR="00B77FE7" w:rsidRDefault="00B77FE7" w:rsidP="0022344D"/>
    <w:p w14:paraId="61DEF61C" w14:textId="77777777" w:rsidR="00B77FE7" w:rsidRDefault="00B77FE7" w:rsidP="0022344D"/>
    <w:p w14:paraId="41947819" w14:textId="77777777" w:rsidR="00B77FE7" w:rsidRDefault="00B77FE7" w:rsidP="0022344D"/>
    <w:p w14:paraId="77D02E72" w14:textId="77777777" w:rsidR="00B77FE7" w:rsidRDefault="00B77FE7" w:rsidP="0022344D"/>
    <w:p w14:paraId="0892C3AD" w14:textId="77777777" w:rsidR="00B77FE7" w:rsidRDefault="00B77FE7" w:rsidP="0022344D"/>
    <w:p w14:paraId="01698BDC" w14:textId="77777777" w:rsidR="00B77FE7" w:rsidRDefault="00B77FE7" w:rsidP="0022344D"/>
    <w:p w14:paraId="49271963" w14:textId="77777777" w:rsidR="00B77FE7" w:rsidRDefault="00B77FE7" w:rsidP="0022344D"/>
    <w:p w14:paraId="7C05DA15" w14:textId="77777777" w:rsidR="00B77FE7" w:rsidRDefault="00B77FE7" w:rsidP="0022344D"/>
    <w:p w14:paraId="078C4B3F" w14:textId="77777777" w:rsidR="00B77FE7" w:rsidRDefault="00B77FE7" w:rsidP="0022344D"/>
    <w:p w14:paraId="2C2F6DDB" w14:textId="77777777" w:rsidR="00B77FE7" w:rsidRDefault="00B77FE7" w:rsidP="0022344D"/>
    <w:p w14:paraId="3296265A" w14:textId="77777777" w:rsidR="00B77FE7" w:rsidRDefault="00B77FE7" w:rsidP="0022344D"/>
    <w:p w14:paraId="454A2296" w14:textId="77777777" w:rsidR="00B77FE7" w:rsidRDefault="00B77FE7" w:rsidP="0022344D"/>
    <w:p w14:paraId="481DB0CE" w14:textId="77777777" w:rsidR="00B77FE7" w:rsidRDefault="00B77FE7" w:rsidP="0022344D"/>
    <w:p w14:paraId="3614A049" w14:textId="77777777" w:rsidR="00B77FE7" w:rsidRDefault="00B77FE7" w:rsidP="0022344D"/>
    <w:p w14:paraId="5055D501" w14:textId="77777777" w:rsidR="00B77FE7" w:rsidRDefault="00B77FE7" w:rsidP="0022344D"/>
    <w:p w14:paraId="07D961F5" w14:textId="77777777" w:rsidR="00B77FE7" w:rsidRDefault="00B77FE7" w:rsidP="0022344D"/>
    <w:p w14:paraId="398F9845" w14:textId="77777777" w:rsidR="00B77FE7" w:rsidRDefault="00B77FE7" w:rsidP="0022344D"/>
    <w:p w14:paraId="54D1659C" w14:textId="77777777" w:rsidR="00B77FE7" w:rsidRDefault="00B77FE7" w:rsidP="0022344D"/>
    <w:p w14:paraId="0033E3A6" w14:textId="77777777" w:rsidR="00B77FE7" w:rsidRDefault="00B77FE7" w:rsidP="0022344D"/>
    <w:p w14:paraId="61B0FFD7" w14:textId="77777777" w:rsidR="00B77FE7" w:rsidRDefault="00B77FE7" w:rsidP="0022344D"/>
    <w:p w14:paraId="5E53BF36" w14:textId="77777777" w:rsidR="00B77FE7" w:rsidRDefault="00B77FE7" w:rsidP="0022344D"/>
    <w:p w14:paraId="4DDB5641" w14:textId="77777777" w:rsidR="00B77FE7" w:rsidRDefault="00B77FE7" w:rsidP="0022344D"/>
    <w:p w14:paraId="7288DB12" w14:textId="77777777" w:rsidR="00B77FE7" w:rsidRDefault="00B77FE7" w:rsidP="0022344D"/>
    <w:p w14:paraId="07492B1E" w14:textId="77777777" w:rsidR="00B77FE7" w:rsidRDefault="00B77FE7" w:rsidP="0022344D"/>
    <w:p w14:paraId="1D07CED4" w14:textId="77777777" w:rsidR="00B77FE7" w:rsidRDefault="00B77FE7" w:rsidP="0022344D"/>
    <w:p w14:paraId="4F9665F1" w14:textId="77777777" w:rsidR="00B77FE7" w:rsidRDefault="00B77FE7"/>
    <w:p w14:paraId="57D1C0F7" w14:textId="77777777" w:rsidR="00B77FE7" w:rsidRDefault="00B77FE7"/>
    <w:p w14:paraId="24E4AB95" w14:textId="77777777" w:rsidR="00B77FE7" w:rsidRDefault="00B77FE7" w:rsidP="00BD5398"/>
    <w:p w14:paraId="73974386" w14:textId="77777777" w:rsidR="00B77FE7" w:rsidRDefault="00B77FE7" w:rsidP="00BD5398"/>
    <w:p w14:paraId="0D066810" w14:textId="77777777" w:rsidR="00B77FE7" w:rsidRDefault="00B77FE7" w:rsidP="00BD5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50901"/>
      <w:docPartObj>
        <w:docPartGallery w:val="Page Numbers (Bottom of Page)"/>
        <w:docPartUnique/>
      </w:docPartObj>
    </w:sdtPr>
    <w:sdtEndPr>
      <w:rPr>
        <w:noProof/>
      </w:rPr>
    </w:sdtEndPr>
    <w:sdtContent>
      <w:p w14:paraId="2AD3D9F4" w14:textId="365EF6F3" w:rsidR="00BD5398" w:rsidRPr="00586362" w:rsidRDefault="00BD5398" w:rsidP="0022344D">
        <w:pPr>
          <w:pStyle w:val="Footer"/>
        </w:pPr>
        <w:r w:rsidRPr="00586362">
          <w:fldChar w:fldCharType="begin"/>
        </w:r>
        <w:r w:rsidRPr="00586362">
          <w:instrText xml:space="preserve"> PAGE   \* MERGEFORMAT </w:instrText>
        </w:r>
        <w:r w:rsidRPr="00586362">
          <w:fldChar w:fldCharType="separate"/>
        </w:r>
        <w:r w:rsidR="00605116">
          <w:rPr>
            <w:noProof/>
          </w:rPr>
          <w:t>2</w:t>
        </w:r>
        <w:r w:rsidRPr="00586362">
          <w:rPr>
            <w:noProof/>
          </w:rPr>
          <w:fldChar w:fldCharType="end"/>
        </w:r>
        <w:r w:rsidRPr="00586362">
          <w:rPr>
            <w:noProof/>
          </w:rPr>
          <w:t xml:space="preserve">    </w:t>
        </w:r>
        <w:r w:rsidRPr="00586362">
          <w:rPr>
            <w:b/>
          </w:rPr>
          <w:t>Elering AS</w:t>
        </w:r>
        <w:r w:rsidRPr="00586362">
          <w:t xml:space="preserve"> | Laki 24, 12915 Tallinn, Estonia | </w:t>
        </w:r>
        <w:r w:rsidRPr="00586362">
          <w:rPr>
            <w:noProof/>
          </w:rPr>
          <w:drawing>
            <wp:inline distT="0" distB="0" distL="0" distR="0" wp14:anchorId="2120235C" wp14:editId="68F9528B">
              <wp:extent cx="69215" cy="86360"/>
              <wp:effectExtent l="0" t="0" r="698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t xml:space="preserve"> + 372 715 1222 | www.elering.ee | </w:t>
        </w:r>
        <w:r>
          <w:t>Ametlik e-post</w:t>
        </w:r>
        <w:r w:rsidRPr="00586362">
          <w:t>: info@elering.ee</w:t>
        </w:r>
      </w:p>
      <w:p w14:paraId="06CDD2E4" w14:textId="4786B0B5" w:rsidR="00BD5398" w:rsidRPr="00EB0393" w:rsidRDefault="00BD5398" w:rsidP="0022344D">
        <w:pPr>
          <w:pStyle w:val="Footer"/>
        </w:pPr>
        <w:r w:rsidRPr="00EB0393">
          <w:t xml:space="preserve">     </w:t>
        </w:r>
        <w:r>
          <w:t xml:space="preserve"> </w:t>
        </w:r>
      </w:p>
      <w:p w14:paraId="6C03B591" w14:textId="3C61C28F" w:rsidR="00BD5398" w:rsidRDefault="00B77FE7" w:rsidP="0022344D">
        <w:pPr>
          <w:pStyle w:val="Footer"/>
        </w:pPr>
      </w:p>
    </w:sdtContent>
  </w:sdt>
  <w:p w14:paraId="52FDBFFC" w14:textId="17F8B18B" w:rsidR="00BD5398" w:rsidRPr="00E43D13" w:rsidRDefault="00BD5398" w:rsidP="0022344D">
    <w:pPr>
      <w:pStyle w:val="Foo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465BC" w14:textId="77777777" w:rsidR="00B77FE7" w:rsidRDefault="00B77FE7" w:rsidP="0022344D">
      <w:r>
        <w:separator/>
      </w:r>
    </w:p>
    <w:p w14:paraId="100FA24F" w14:textId="77777777" w:rsidR="00B77FE7" w:rsidRDefault="00B77FE7" w:rsidP="0022344D"/>
    <w:p w14:paraId="42D26F57" w14:textId="77777777" w:rsidR="00B77FE7" w:rsidRDefault="00B77FE7" w:rsidP="0022344D"/>
    <w:p w14:paraId="1E0630C1" w14:textId="77777777" w:rsidR="00B77FE7" w:rsidRDefault="00B77FE7" w:rsidP="0022344D"/>
    <w:p w14:paraId="6E890EEA" w14:textId="77777777" w:rsidR="00B77FE7" w:rsidRDefault="00B77FE7" w:rsidP="0022344D"/>
    <w:p w14:paraId="1B0E06B2" w14:textId="77777777" w:rsidR="00B77FE7" w:rsidRDefault="00B77FE7" w:rsidP="0022344D"/>
    <w:p w14:paraId="04238C7F" w14:textId="77777777" w:rsidR="00B77FE7" w:rsidRDefault="00B77FE7" w:rsidP="0022344D"/>
    <w:p w14:paraId="62D18F98" w14:textId="77777777" w:rsidR="00B77FE7" w:rsidRDefault="00B77FE7" w:rsidP="0022344D"/>
    <w:p w14:paraId="1C7EA18C" w14:textId="77777777" w:rsidR="00B77FE7" w:rsidRDefault="00B77FE7" w:rsidP="0022344D"/>
    <w:p w14:paraId="41083DD8" w14:textId="77777777" w:rsidR="00B77FE7" w:rsidRDefault="00B77FE7" w:rsidP="0022344D"/>
    <w:p w14:paraId="743953F8" w14:textId="77777777" w:rsidR="00B77FE7" w:rsidRDefault="00B77FE7" w:rsidP="0022344D"/>
    <w:p w14:paraId="56573C64" w14:textId="77777777" w:rsidR="00B77FE7" w:rsidRDefault="00B77FE7" w:rsidP="0022344D"/>
    <w:p w14:paraId="6BB4A65C" w14:textId="77777777" w:rsidR="00B77FE7" w:rsidRDefault="00B77FE7" w:rsidP="0022344D"/>
    <w:p w14:paraId="0C5F160E" w14:textId="77777777" w:rsidR="00B77FE7" w:rsidRDefault="00B77FE7" w:rsidP="0022344D"/>
    <w:p w14:paraId="36DDC983" w14:textId="77777777" w:rsidR="00B77FE7" w:rsidRDefault="00B77FE7" w:rsidP="0022344D"/>
    <w:p w14:paraId="758889CB" w14:textId="77777777" w:rsidR="00B77FE7" w:rsidRDefault="00B77FE7" w:rsidP="0022344D"/>
    <w:p w14:paraId="121B1D78" w14:textId="77777777" w:rsidR="00B77FE7" w:rsidRDefault="00B77FE7" w:rsidP="0022344D"/>
    <w:p w14:paraId="35464DA6" w14:textId="77777777" w:rsidR="00B77FE7" w:rsidRDefault="00B77FE7" w:rsidP="0022344D"/>
    <w:p w14:paraId="651DB6F7" w14:textId="77777777" w:rsidR="00B77FE7" w:rsidRDefault="00B77FE7" w:rsidP="0022344D"/>
    <w:p w14:paraId="4000FD85" w14:textId="77777777" w:rsidR="00B77FE7" w:rsidRDefault="00B77FE7" w:rsidP="0022344D"/>
    <w:p w14:paraId="010A9E5A" w14:textId="77777777" w:rsidR="00B77FE7" w:rsidRDefault="00B77FE7" w:rsidP="0022344D"/>
    <w:p w14:paraId="0F699DAB" w14:textId="77777777" w:rsidR="00B77FE7" w:rsidRDefault="00B77FE7" w:rsidP="0022344D"/>
    <w:p w14:paraId="61D25AB9" w14:textId="77777777" w:rsidR="00B77FE7" w:rsidRDefault="00B77FE7" w:rsidP="0022344D"/>
    <w:p w14:paraId="5DEF59FD" w14:textId="77777777" w:rsidR="00B77FE7" w:rsidRDefault="00B77FE7" w:rsidP="0022344D"/>
    <w:p w14:paraId="425C1AEC" w14:textId="77777777" w:rsidR="00B77FE7" w:rsidRDefault="00B77FE7" w:rsidP="0022344D"/>
    <w:p w14:paraId="6281ABAB" w14:textId="77777777" w:rsidR="00B77FE7" w:rsidRDefault="00B77FE7" w:rsidP="0022344D"/>
    <w:p w14:paraId="23A3BA75" w14:textId="77777777" w:rsidR="00B77FE7" w:rsidRDefault="00B77FE7" w:rsidP="0022344D"/>
    <w:p w14:paraId="5B34CD3B" w14:textId="77777777" w:rsidR="00B77FE7" w:rsidRDefault="00B77FE7" w:rsidP="0022344D"/>
    <w:p w14:paraId="13B22927" w14:textId="77777777" w:rsidR="00B77FE7" w:rsidRDefault="00B77FE7" w:rsidP="0022344D"/>
    <w:p w14:paraId="34E1730B" w14:textId="77777777" w:rsidR="00B77FE7" w:rsidRDefault="00B77FE7" w:rsidP="0022344D"/>
    <w:p w14:paraId="4807377A" w14:textId="77777777" w:rsidR="00B77FE7" w:rsidRDefault="00B77FE7" w:rsidP="0022344D"/>
    <w:p w14:paraId="57E80BED" w14:textId="77777777" w:rsidR="00B77FE7" w:rsidRDefault="00B77FE7" w:rsidP="0022344D"/>
    <w:p w14:paraId="7C1E5D4F" w14:textId="77777777" w:rsidR="00B77FE7" w:rsidRDefault="00B77FE7" w:rsidP="0022344D"/>
    <w:p w14:paraId="33EE9437" w14:textId="77777777" w:rsidR="00B77FE7" w:rsidRDefault="00B77FE7" w:rsidP="0022344D"/>
    <w:p w14:paraId="62B8C6D6" w14:textId="77777777" w:rsidR="00B77FE7" w:rsidRDefault="00B77FE7" w:rsidP="0022344D"/>
    <w:p w14:paraId="65B0FD2C" w14:textId="77777777" w:rsidR="00B77FE7" w:rsidRDefault="00B77FE7" w:rsidP="0022344D"/>
    <w:p w14:paraId="51ED5D5F" w14:textId="77777777" w:rsidR="00B77FE7" w:rsidRDefault="00B77FE7" w:rsidP="0022344D"/>
    <w:p w14:paraId="1A23DDEE" w14:textId="77777777" w:rsidR="00B77FE7" w:rsidRDefault="00B77FE7" w:rsidP="0022344D"/>
    <w:p w14:paraId="6D05B3D2" w14:textId="77777777" w:rsidR="00B77FE7" w:rsidRDefault="00B77FE7" w:rsidP="0022344D"/>
    <w:p w14:paraId="0ED0809E" w14:textId="77777777" w:rsidR="00B77FE7" w:rsidRDefault="00B77FE7" w:rsidP="0022344D"/>
    <w:p w14:paraId="6FE2F481" w14:textId="77777777" w:rsidR="00B77FE7" w:rsidRDefault="00B77FE7" w:rsidP="0022344D"/>
    <w:p w14:paraId="70CAE129" w14:textId="77777777" w:rsidR="00B77FE7" w:rsidRDefault="00B77FE7" w:rsidP="0022344D"/>
    <w:p w14:paraId="322CDC1B" w14:textId="77777777" w:rsidR="00B77FE7" w:rsidRDefault="00B77FE7" w:rsidP="0022344D"/>
    <w:p w14:paraId="7E04B52C" w14:textId="77777777" w:rsidR="00B77FE7" w:rsidRDefault="00B77FE7" w:rsidP="0022344D"/>
    <w:p w14:paraId="15A75020" w14:textId="77777777" w:rsidR="00B77FE7" w:rsidRDefault="00B77FE7" w:rsidP="0022344D"/>
    <w:p w14:paraId="4EB987C2" w14:textId="77777777" w:rsidR="00B77FE7" w:rsidRDefault="00B77FE7" w:rsidP="0022344D"/>
    <w:p w14:paraId="3E99F6CB" w14:textId="77777777" w:rsidR="00B77FE7" w:rsidRDefault="00B77FE7" w:rsidP="0022344D"/>
    <w:p w14:paraId="339D9101" w14:textId="77777777" w:rsidR="00B77FE7" w:rsidRDefault="00B77FE7" w:rsidP="0022344D"/>
    <w:p w14:paraId="3ED0A33D" w14:textId="77777777" w:rsidR="00B77FE7" w:rsidRDefault="00B77FE7" w:rsidP="0022344D"/>
    <w:p w14:paraId="651326C3" w14:textId="77777777" w:rsidR="00B77FE7" w:rsidRDefault="00B77FE7" w:rsidP="0022344D"/>
    <w:p w14:paraId="2AC2EB3F" w14:textId="77777777" w:rsidR="00B77FE7" w:rsidRDefault="00B77FE7" w:rsidP="0022344D"/>
    <w:p w14:paraId="12C792A7" w14:textId="77777777" w:rsidR="00B77FE7" w:rsidRDefault="00B77FE7" w:rsidP="0022344D"/>
    <w:p w14:paraId="0D51BE14" w14:textId="77777777" w:rsidR="00B77FE7" w:rsidRDefault="00B77FE7" w:rsidP="0022344D"/>
    <w:p w14:paraId="13F5BB97" w14:textId="77777777" w:rsidR="00B77FE7" w:rsidRDefault="00B77FE7" w:rsidP="0022344D"/>
    <w:p w14:paraId="552A5DC8" w14:textId="77777777" w:rsidR="00B77FE7" w:rsidRDefault="00B77FE7" w:rsidP="0022344D"/>
    <w:p w14:paraId="555C97E6" w14:textId="77777777" w:rsidR="00B77FE7" w:rsidRDefault="00B77FE7" w:rsidP="0022344D"/>
    <w:p w14:paraId="5C3C2F04" w14:textId="77777777" w:rsidR="00B77FE7" w:rsidRDefault="00B77FE7" w:rsidP="0022344D"/>
    <w:p w14:paraId="0BE48BD7" w14:textId="77777777" w:rsidR="00B77FE7" w:rsidRDefault="00B77FE7" w:rsidP="0022344D"/>
    <w:p w14:paraId="59D57359" w14:textId="77777777" w:rsidR="00B77FE7" w:rsidRDefault="00B77FE7" w:rsidP="0022344D"/>
    <w:p w14:paraId="6CB6F8AB" w14:textId="77777777" w:rsidR="00B77FE7" w:rsidRDefault="00B77FE7" w:rsidP="0022344D"/>
    <w:p w14:paraId="426EA212" w14:textId="77777777" w:rsidR="00B77FE7" w:rsidRDefault="00B77FE7" w:rsidP="0022344D"/>
    <w:p w14:paraId="294C603C" w14:textId="77777777" w:rsidR="00B77FE7" w:rsidRDefault="00B77FE7" w:rsidP="0022344D"/>
    <w:p w14:paraId="7214B383" w14:textId="77777777" w:rsidR="00B77FE7" w:rsidRDefault="00B77FE7" w:rsidP="0022344D"/>
    <w:p w14:paraId="1F37A100" w14:textId="77777777" w:rsidR="00B77FE7" w:rsidRDefault="00B77FE7" w:rsidP="0022344D"/>
    <w:p w14:paraId="342852F2" w14:textId="77777777" w:rsidR="00B77FE7" w:rsidRDefault="00B77FE7" w:rsidP="0022344D"/>
    <w:p w14:paraId="0A02CE82" w14:textId="77777777" w:rsidR="00B77FE7" w:rsidRDefault="00B77FE7" w:rsidP="0022344D"/>
    <w:p w14:paraId="28B8F45F" w14:textId="77777777" w:rsidR="00B77FE7" w:rsidRDefault="00B77FE7" w:rsidP="0022344D"/>
    <w:p w14:paraId="5A839B41" w14:textId="77777777" w:rsidR="00B77FE7" w:rsidRDefault="00B77FE7" w:rsidP="0022344D"/>
    <w:p w14:paraId="05E7F60B" w14:textId="77777777" w:rsidR="00B77FE7" w:rsidRDefault="00B77FE7" w:rsidP="0022344D"/>
    <w:p w14:paraId="2ED6A6EA" w14:textId="77777777" w:rsidR="00B77FE7" w:rsidRDefault="00B77FE7" w:rsidP="0022344D"/>
    <w:p w14:paraId="7BCE2B35" w14:textId="77777777" w:rsidR="00B77FE7" w:rsidRDefault="00B77FE7" w:rsidP="0022344D"/>
    <w:p w14:paraId="2F5C860B" w14:textId="77777777" w:rsidR="00B77FE7" w:rsidRDefault="00B77FE7" w:rsidP="0022344D"/>
    <w:p w14:paraId="0B8F1C28" w14:textId="77777777" w:rsidR="00B77FE7" w:rsidRDefault="00B77FE7" w:rsidP="0022344D"/>
    <w:p w14:paraId="0C37DAF0" w14:textId="77777777" w:rsidR="00B77FE7" w:rsidRDefault="00B77FE7" w:rsidP="0022344D"/>
    <w:p w14:paraId="55D6E9B3" w14:textId="77777777" w:rsidR="00B77FE7" w:rsidRDefault="00B77FE7"/>
    <w:p w14:paraId="30D060EE" w14:textId="77777777" w:rsidR="00B77FE7" w:rsidRDefault="00B77FE7"/>
    <w:p w14:paraId="45234953" w14:textId="77777777" w:rsidR="00B77FE7" w:rsidRDefault="00B77FE7" w:rsidP="00BD5398"/>
    <w:p w14:paraId="75C0DE33" w14:textId="77777777" w:rsidR="00B77FE7" w:rsidRDefault="00B77FE7" w:rsidP="00BD5398"/>
    <w:p w14:paraId="03193DB2" w14:textId="77777777" w:rsidR="00B77FE7" w:rsidRDefault="00B77FE7" w:rsidP="00BD5398"/>
  </w:footnote>
  <w:footnote w:type="continuationSeparator" w:id="0">
    <w:p w14:paraId="65882F98" w14:textId="77777777" w:rsidR="00B77FE7" w:rsidRDefault="00B77FE7" w:rsidP="0022344D">
      <w:r>
        <w:continuationSeparator/>
      </w:r>
    </w:p>
    <w:p w14:paraId="3496C6CA" w14:textId="77777777" w:rsidR="00B77FE7" w:rsidRDefault="00B77FE7" w:rsidP="0022344D"/>
    <w:p w14:paraId="175514CB" w14:textId="77777777" w:rsidR="00B77FE7" w:rsidRDefault="00B77FE7" w:rsidP="0022344D"/>
    <w:p w14:paraId="360B6851" w14:textId="77777777" w:rsidR="00B77FE7" w:rsidRDefault="00B77FE7" w:rsidP="0022344D"/>
    <w:p w14:paraId="6EADCA95" w14:textId="77777777" w:rsidR="00B77FE7" w:rsidRDefault="00B77FE7" w:rsidP="0022344D"/>
    <w:p w14:paraId="1C41AA32" w14:textId="77777777" w:rsidR="00B77FE7" w:rsidRDefault="00B77FE7" w:rsidP="0022344D"/>
    <w:p w14:paraId="1E2B0194" w14:textId="77777777" w:rsidR="00B77FE7" w:rsidRDefault="00B77FE7" w:rsidP="0022344D"/>
    <w:p w14:paraId="72E85431" w14:textId="77777777" w:rsidR="00B77FE7" w:rsidRDefault="00B77FE7" w:rsidP="0022344D"/>
    <w:p w14:paraId="55F2DC4D" w14:textId="77777777" w:rsidR="00B77FE7" w:rsidRDefault="00B77FE7" w:rsidP="0022344D"/>
    <w:p w14:paraId="60FA6397" w14:textId="77777777" w:rsidR="00B77FE7" w:rsidRDefault="00B77FE7" w:rsidP="0022344D"/>
    <w:p w14:paraId="00CB8E19" w14:textId="77777777" w:rsidR="00B77FE7" w:rsidRDefault="00B77FE7" w:rsidP="0022344D"/>
    <w:p w14:paraId="1C16FA53" w14:textId="77777777" w:rsidR="00B77FE7" w:rsidRDefault="00B77FE7" w:rsidP="0022344D"/>
    <w:p w14:paraId="388E0032" w14:textId="77777777" w:rsidR="00B77FE7" w:rsidRDefault="00B77FE7" w:rsidP="0022344D"/>
    <w:p w14:paraId="3AAA4C6D" w14:textId="77777777" w:rsidR="00B77FE7" w:rsidRDefault="00B77FE7" w:rsidP="0022344D"/>
    <w:p w14:paraId="3242D40E" w14:textId="77777777" w:rsidR="00B77FE7" w:rsidRDefault="00B77FE7" w:rsidP="0022344D"/>
    <w:p w14:paraId="48CDEA7D" w14:textId="77777777" w:rsidR="00B77FE7" w:rsidRDefault="00B77FE7" w:rsidP="0022344D"/>
    <w:p w14:paraId="1EA9893D" w14:textId="77777777" w:rsidR="00B77FE7" w:rsidRDefault="00B77FE7" w:rsidP="0022344D"/>
    <w:p w14:paraId="6902BC1B" w14:textId="77777777" w:rsidR="00B77FE7" w:rsidRDefault="00B77FE7" w:rsidP="0022344D"/>
    <w:p w14:paraId="28F73492" w14:textId="77777777" w:rsidR="00B77FE7" w:rsidRDefault="00B77FE7" w:rsidP="0022344D"/>
    <w:p w14:paraId="2EA899EF" w14:textId="77777777" w:rsidR="00B77FE7" w:rsidRDefault="00B77FE7" w:rsidP="0022344D"/>
    <w:p w14:paraId="152637F3" w14:textId="77777777" w:rsidR="00B77FE7" w:rsidRDefault="00B77FE7" w:rsidP="0022344D"/>
    <w:p w14:paraId="763D1BBF" w14:textId="77777777" w:rsidR="00B77FE7" w:rsidRDefault="00B77FE7" w:rsidP="0022344D"/>
    <w:p w14:paraId="215E709D" w14:textId="77777777" w:rsidR="00B77FE7" w:rsidRDefault="00B77FE7" w:rsidP="0022344D"/>
    <w:p w14:paraId="3F130509" w14:textId="77777777" w:rsidR="00B77FE7" w:rsidRDefault="00B77FE7" w:rsidP="0022344D"/>
    <w:p w14:paraId="57B5077B" w14:textId="77777777" w:rsidR="00B77FE7" w:rsidRDefault="00B77FE7" w:rsidP="0022344D"/>
    <w:p w14:paraId="56ECD206" w14:textId="77777777" w:rsidR="00B77FE7" w:rsidRDefault="00B77FE7" w:rsidP="0022344D"/>
    <w:p w14:paraId="56420FF0" w14:textId="77777777" w:rsidR="00B77FE7" w:rsidRDefault="00B77FE7" w:rsidP="0022344D"/>
    <w:p w14:paraId="3F6A4946" w14:textId="77777777" w:rsidR="00B77FE7" w:rsidRDefault="00B77FE7" w:rsidP="0022344D"/>
    <w:p w14:paraId="6B89C929" w14:textId="77777777" w:rsidR="00B77FE7" w:rsidRDefault="00B77FE7" w:rsidP="0022344D"/>
    <w:p w14:paraId="1FF715B8" w14:textId="77777777" w:rsidR="00B77FE7" w:rsidRDefault="00B77FE7" w:rsidP="0022344D"/>
    <w:p w14:paraId="6508F601" w14:textId="77777777" w:rsidR="00B77FE7" w:rsidRDefault="00B77FE7" w:rsidP="0022344D"/>
    <w:p w14:paraId="23D26D1D" w14:textId="77777777" w:rsidR="00B77FE7" w:rsidRDefault="00B77FE7" w:rsidP="0022344D"/>
    <w:p w14:paraId="5AB0C8D3" w14:textId="77777777" w:rsidR="00B77FE7" w:rsidRDefault="00B77FE7" w:rsidP="0022344D"/>
    <w:p w14:paraId="4B1537F2" w14:textId="77777777" w:rsidR="00B77FE7" w:rsidRDefault="00B77FE7" w:rsidP="0022344D"/>
    <w:p w14:paraId="08100AF8" w14:textId="77777777" w:rsidR="00B77FE7" w:rsidRDefault="00B77FE7" w:rsidP="0022344D"/>
    <w:p w14:paraId="6A818D94" w14:textId="77777777" w:rsidR="00B77FE7" w:rsidRDefault="00B77FE7" w:rsidP="0022344D"/>
    <w:p w14:paraId="07215D88" w14:textId="77777777" w:rsidR="00B77FE7" w:rsidRDefault="00B77FE7" w:rsidP="0022344D"/>
    <w:p w14:paraId="260DDA10" w14:textId="77777777" w:rsidR="00B77FE7" w:rsidRDefault="00B77FE7" w:rsidP="0022344D"/>
    <w:p w14:paraId="7C735F5E" w14:textId="77777777" w:rsidR="00B77FE7" w:rsidRDefault="00B77FE7" w:rsidP="0022344D"/>
    <w:p w14:paraId="711E84E5" w14:textId="77777777" w:rsidR="00B77FE7" w:rsidRDefault="00B77FE7" w:rsidP="0022344D"/>
    <w:p w14:paraId="3ADD26AC" w14:textId="77777777" w:rsidR="00B77FE7" w:rsidRDefault="00B77FE7" w:rsidP="0022344D"/>
    <w:p w14:paraId="51217A76" w14:textId="77777777" w:rsidR="00B77FE7" w:rsidRDefault="00B77FE7" w:rsidP="0022344D"/>
    <w:p w14:paraId="0C63E2E0" w14:textId="77777777" w:rsidR="00B77FE7" w:rsidRDefault="00B77FE7" w:rsidP="0022344D"/>
    <w:p w14:paraId="6F037554" w14:textId="77777777" w:rsidR="00B77FE7" w:rsidRDefault="00B77FE7" w:rsidP="0022344D"/>
    <w:p w14:paraId="72B8FC11" w14:textId="77777777" w:rsidR="00B77FE7" w:rsidRDefault="00B77FE7" w:rsidP="0022344D"/>
    <w:p w14:paraId="3DAB0F3D" w14:textId="77777777" w:rsidR="00B77FE7" w:rsidRDefault="00B77FE7" w:rsidP="0022344D"/>
    <w:p w14:paraId="667462C3" w14:textId="77777777" w:rsidR="00B77FE7" w:rsidRDefault="00B77FE7" w:rsidP="0022344D"/>
    <w:p w14:paraId="19FDB73F" w14:textId="77777777" w:rsidR="00B77FE7" w:rsidRDefault="00B77FE7" w:rsidP="0022344D"/>
    <w:p w14:paraId="356BAEA6" w14:textId="77777777" w:rsidR="00B77FE7" w:rsidRDefault="00B77FE7" w:rsidP="0022344D"/>
    <w:p w14:paraId="7F17EA12" w14:textId="77777777" w:rsidR="00B77FE7" w:rsidRDefault="00B77FE7" w:rsidP="0022344D"/>
    <w:p w14:paraId="537BB796" w14:textId="77777777" w:rsidR="00B77FE7" w:rsidRDefault="00B77FE7" w:rsidP="0022344D"/>
    <w:p w14:paraId="4C3EE9DB" w14:textId="77777777" w:rsidR="00B77FE7" w:rsidRDefault="00B77FE7" w:rsidP="0022344D"/>
    <w:p w14:paraId="249E53C5" w14:textId="77777777" w:rsidR="00B77FE7" w:rsidRDefault="00B77FE7" w:rsidP="0022344D"/>
    <w:p w14:paraId="690084E8" w14:textId="77777777" w:rsidR="00B77FE7" w:rsidRDefault="00B77FE7" w:rsidP="0022344D"/>
    <w:p w14:paraId="53F7980A" w14:textId="77777777" w:rsidR="00B77FE7" w:rsidRDefault="00B77FE7" w:rsidP="0022344D"/>
    <w:p w14:paraId="5C9096B7" w14:textId="77777777" w:rsidR="00B77FE7" w:rsidRDefault="00B77FE7" w:rsidP="0022344D"/>
    <w:p w14:paraId="31F2D794" w14:textId="77777777" w:rsidR="00B77FE7" w:rsidRDefault="00B77FE7" w:rsidP="0022344D"/>
    <w:p w14:paraId="4C450E39" w14:textId="77777777" w:rsidR="00B77FE7" w:rsidRDefault="00B77FE7" w:rsidP="0022344D"/>
    <w:p w14:paraId="103F8929" w14:textId="77777777" w:rsidR="00B77FE7" w:rsidRDefault="00B77FE7" w:rsidP="0022344D"/>
    <w:p w14:paraId="707DA54F" w14:textId="77777777" w:rsidR="00B77FE7" w:rsidRDefault="00B77FE7" w:rsidP="0022344D"/>
    <w:p w14:paraId="1F3BC97A" w14:textId="77777777" w:rsidR="00B77FE7" w:rsidRDefault="00B77FE7" w:rsidP="0022344D"/>
    <w:p w14:paraId="53AD17E0" w14:textId="77777777" w:rsidR="00B77FE7" w:rsidRDefault="00B77FE7" w:rsidP="0022344D"/>
    <w:p w14:paraId="3279BBF3" w14:textId="77777777" w:rsidR="00B77FE7" w:rsidRDefault="00B77FE7" w:rsidP="0022344D"/>
    <w:p w14:paraId="032C2F60" w14:textId="77777777" w:rsidR="00B77FE7" w:rsidRDefault="00B77FE7" w:rsidP="0022344D"/>
    <w:p w14:paraId="51221E09" w14:textId="77777777" w:rsidR="00B77FE7" w:rsidRDefault="00B77FE7" w:rsidP="0022344D"/>
    <w:p w14:paraId="24E726E6" w14:textId="77777777" w:rsidR="00B77FE7" w:rsidRDefault="00B77FE7" w:rsidP="0022344D"/>
    <w:p w14:paraId="52CC180D" w14:textId="77777777" w:rsidR="00B77FE7" w:rsidRDefault="00B77FE7" w:rsidP="0022344D"/>
    <w:p w14:paraId="7AC38409" w14:textId="77777777" w:rsidR="00B77FE7" w:rsidRDefault="00B77FE7" w:rsidP="0022344D"/>
    <w:p w14:paraId="39AD3AE4" w14:textId="77777777" w:rsidR="00B77FE7" w:rsidRDefault="00B77FE7" w:rsidP="0022344D"/>
    <w:p w14:paraId="45B90CC7" w14:textId="77777777" w:rsidR="00B77FE7" w:rsidRDefault="00B77FE7" w:rsidP="0022344D"/>
    <w:p w14:paraId="672C00DD" w14:textId="77777777" w:rsidR="00B77FE7" w:rsidRDefault="00B77FE7" w:rsidP="0022344D"/>
    <w:p w14:paraId="1E29FE92" w14:textId="77777777" w:rsidR="00B77FE7" w:rsidRDefault="00B77FE7" w:rsidP="0022344D"/>
    <w:p w14:paraId="4C17EA2D" w14:textId="77777777" w:rsidR="00B77FE7" w:rsidRDefault="00B77FE7" w:rsidP="0022344D"/>
    <w:p w14:paraId="4C7F9098" w14:textId="77777777" w:rsidR="00B77FE7" w:rsidRDefault="00B77FE7" w:rsidP="0022344D"/>
    <w:p w14:paraId="54DB05A9" w14:textId="77777777" w:rsidR="00B77FE7" w:rsidRDefault="00B77FE7"/>
    <w:p w14:paraId="71751A8E" w14:textId="77777777" w:rsidR="00B77FE7" w:rsidRDefault="00B77FE7"/>
    <w:p w14:paraId="3488A496" w14:textId="77777777" w:rsidR="00B77FE7" w:rsidRDefault="00B77FE7" w:rsidP="00BD5398"/>
    <w:p w14:paraId="791ED0A7" w14:textId="77777777" w:rsidR="00B77FE7" w:rsidRDefault="00B77FE7" w:rsidP="00BD5398"/>
    <w:p w14:paraId="2E377F6B" w14:textId="77777777" w:rsidR="00B77FE7" w:rsidRDefault="00B77FE7" w:rsidP="00BD5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BD5398" w:rsidRDefault="00BD5398" w:rsidP="0022344D">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31" name="Picture 3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BD5398" w:rsidRDefault="00BD5398" w:rsidP="00223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0C8B6843"/>
    <w:multiLevelType w:val="hybridMultilevel"/>
    <w:tmpl w:val="543E6132"/>
    <w:lvl w:ilvl="0" w:tplc="04250001">
      <w:start w:val="20"/>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165D2396"/>
    <w:multiLevelType w:val="hybridMultilevel"/>
    <w:tmpl w:val="C4CA19E2"/>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9">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7"/>
  </w:num>
  <w:num w:numId="14">
    <w:abstractNumId w:val="19"/>
  </w:num>
  <w:num w:numId="15">
    <w:abstractNumId w:val="23"/>
  </w:num>
  <w:num w:numId="16">
    <w:abstractNumId w:val="18"/>
  </w:num>
  <w:num w:numId="17">
    <w:abstractNumId w:val="20"/>
  </w:num>
  <w:num w:numId="18">
    <w:abstractNumId w:val="11"/>
  </w:num>
  <w:num w:numId="19">
    <w:abstractNumId w:val="25"/>
  </w:num>
  <w:num w:numId="20">
    <w:abstractNumId w:val="26"/>
  </w:num>
  <w:num w:numId="21">
    <w:abstractNumId w:val="22"/>
  </w:num>
  <w:num w:numId="22">
    <w:abstractNumId w:val="21"/>
  </w:num>
  <w:num w:numId="23">
    <w:abstractNumId w:val="16"/>
  </w:num>
  <w:num w:numId="24">
    <w:abstractNumId w:val="15"/>
  </w:num>
  <w:num w:numId="25">
    <w:abstractNumId w:val="17"/>
  </w:num>
  <w:num w:numId="26">
    <w:abstractNumId w:val="24"/>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901"/>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469"/>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78E"/>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3D"/>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1EA"/>
    <w:rsid w:val="000E3288"/>
    <w:rsid w:val="000E35C1"/>
    <w:rsid w:val="000E35E0"/>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C7E"/>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5F7C"/>
    <w:rsid w:val="00116BA4"/>
    <w:rsid w:val="001176B9"/>
    <w:rsid w:val="0011796E"/>
    <w:rsid w:val="00121B50"/>
    <w:rsid w:val="00122B2D"/>
    <w:rsid w:val="00123483"/>
    <w:rsid w:val="00123519"/>
    <w:rsid w:val="001235C7"/>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591B"/>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57C62"/>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86A"/>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304"/>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517"/>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44D"/>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93F"/>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AFC"/>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4FB"/>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4BFE"/>
    <w:rsid w:val="002B54CE"/>
    <w:rsid w:val="002B55B8"/>
    <w:rsid w:val="002B57D5"/>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5711"/>
    <w:rsid w:val="002D7315"/>
    <w:rsid w:val="002D77F2"/>
    <w:rsid w:val="002D792D"/>
    <w:rsid w:val="002E0001"/>
    <w:rsid w:val="002E06B4"/>
    <w:rsid w:val="002E10A3"/>
    <w:rsid w:val="002E2393"/>
    <w:rsid w:val="002E2502"/>
    <w:rsid w:val="002E28B9"/>
    <w:rsid w:val="002E43CE"/>
    <w:rsid w:val="002E4F79"/>
    <w:rsid w:val="002E6628"/>
    <w:rsid w:val="002E6982"/>
    <w:rsid w:val="002E69A8"/>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0A89"/>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4CE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57C3"/>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9C6"/>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8B1"/>
    <w:rsid w:val="003B2D02"/>
    <w:rsid w:val="003B30DB"/>
    <w:rsid w:val="003B3637"/>
    <w:rsid w:val="003B42A2"/>
    <w:rsid w:val="003B481A"/>
    <w:rsid w:val="003B53BE"/>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6E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E7A6C"/>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1F67"/>
    <w:rsid w:val="004824D4"/>
    <w:rsid w:val="00483541"/>
    <w:rsid w:val="00483659"/>
    <w:rsid w:val="00483671"/>
    <w:rsid w:val="00483A52"/>
    <w:rsid w:val="00483DD1"/>
    <w:rsid w:val="0048443A"/>
    <w:rsid w:val="004844BB"/>
    <w:rsid w:val="00484517"/>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D97"/>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135"/>
    <w:rsid w:val="004C5598"/>
    <w:rsid w:val="004C5D6C"/>
    <w:rsid w:val="004C5F69"/>
    <w:rsid w:val="004C68B8"/>
    <w:rsid w:val="004C6DB0"/>
    <w:rsid w:val="004C6EC5"/>
    <w:rsid w:val="004C7C44"/>
    <w:rsid w:val="004D0840"/>
    <w:rsid w:val="004D0ACD"/>
    <w:rsid w:val="004D1CAF"/>
    <w:rsid w:val="004D247C"/>
    <w:rsid w:val="004D2B60"/>
    <w:rsid w:val="004D2EC5"/>
    <w:rsid w:val="004D2ED2"/>
    <w:rsid w:val="004D2F73"/>
    <w:rsid w:val="004D3B95"/>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CE0"/>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EDA"/>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07EF3"/>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665C"/>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3AE9"/>
    <w:rsid w:val="00594178"/>
    <w:rsid w:val="00594CBD"/>
    <w:rsid w:val="00595628"/>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A6D"/>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28C"/>
    <w:rsid w:val="006023FB"/>
    <w:rsid w:val="006024ED"/>
    <w:rsid w:val="00602EE0"/>
    <w:rsid w:val="00602F19"/>
    <w:rsid w:val="006033B9"/>
    <w:rsid w:val="00604476"/>
    <w:rsid w:val="0060496F"/>
    <w:rsid w:val="00605116"/>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473"/>
    <w:rsid w:val="00620479"/>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279"/>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49"/>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7AC"/>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5E6"/>
    <w:rsid w:val="006F4B17"/>
    <w:rsid w:val="006F4FB3"/>
    <w:rsid w:val="006F5273"/>
    <w:rsid w:val="006F52E1"/>
    <w:rsid w:val="006F5B28"/>
    <w:rsid w:val="006F5D29"/>
    <w:rsid w:val="006F5F2B"/>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7A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0FDD"/>
    <w:rsid w:val="00751222"/>
    <w:rsid w:val="00751227"/>
    <w:rsid w:val="007512B9"/>
    <w:rsid w:val="00751E15"/>
    <w:rsid w:val="00752096"/>
    <w:rsid w:val="00753103"/>
    <w:rsid w:val="00753532"/>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2CB"/>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746"/>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2A0"/>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630"/>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453"/>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6ED6"/>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5A4"/>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6FE"/>
    <w:rsid w:val="0090184D"/>
    <w:rsid w:val="0090185A"/>
    <w:rsid w:val="009019A6"/>
    <w:rsid w:val="00901AA4"/>
    <w:rsid w:val="009020EB"/>
    <w:rsid w:val="009026DD"/>
    <w:rsid w:val="00902996"/>
    <w:rsid w:val="00902A86"/>
    <w:rsid w:val="00902BAF"/>
    <w:rsid w:val="009031AE"/>
    <w:rsid w:val="0090363C"/>
    <w:rsid w:val="009039B7"/>
    <w:rsid w:val="009042A7"/>
    <w:rsid w:val="00904C55"/>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5E3B"/>
    <w:rsid w:val="0091671B"/>
    <w:rsid w:val="00916ABB"/>
    <w:rsid w:val="00916B3D"/>
    <w:rsid w:val="00916B5D"/>
    <w:rsid w:val="00916B7A"/>
    <w:rsid w:val="00916FB0"/>
    <w:rsid w:val="0091702D"/>
    <w:rsid w:val="00917500"/>
    <w:rsid w:val="009179B2"/>
    <w:rsid w:val="00920268"/>
    <w:rsid w:val="00920DEB"/>
    <w:rsid w:val="00920F9C"/>
    <w:rsid w:val="0092107D"/>
    <w:rsid w:val="009215A9"/>
    <w:rsid w:val="00921638"/>
    <w:rsid w:val="00921AAF"/>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1AD"/>
    <w:rsid w:val="00964482"/>
    <w:rsid w:val="0096450E"/>
    <w:rsid w:val="0096496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C9F"/>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0B9"/>
    <w:rsid w:val="009E1344"/>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E72C2"/>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4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CE2"/>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33FE"/>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8B2"/>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2BC3"/>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B2E"/>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808"/>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C7ECF"/>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7EB"/>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480"/>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673"/>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4CB9"/>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CD1"/>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77FE7"/>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1"/>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29B2"/>
    <w:rsid w:val="00BD3074"/>
    <w:rsid w:val="00BD3B86"/>
    <w:rsid w:val="00BD3D95"/>
    <w:rsid w:val="00BD40D1"/>
    <w:rsid w:val="00BD47DC"/>
    <w:rsid w:val="00BD5227"/>
    <w:rsid w:val="00BD5398"/>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5E0A"/>
    <w:rsid w:val="00C27212"/>
    <w:rsid w:val="00C27375"/>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1C1"/>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23E7"/>
    <w:rsid w:val="00C6305C"/>
    <w:rsid w:val="00C631B2"/>
    <w:rsid w:val="00C6321C"/>
    <w:rsid w:val="00C633F6"/>
    <w:rsid w:val="00C639E7"/>
    <w:rsid w:val="00C63E2F"/>
    <w:rsid w:val="00C6410B"/>
    <w:rsid w:val="00C642A1"/>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661"/>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5D7A"/>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007"/>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042"/>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1C5"/>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8B6"/>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06"/>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AC2"/>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3C5"/>
    <w:rsid w:val="00DA5E8C"/>
    <w:rsid w:val="00DA5F0D"/>
    <w:rsid w:val="00DA6B27"/>
    <w:rsid w:val="00DA6F8F"/>
    <w:rsid w:val="00DA7900"/>
    <w:rsid w:val="00DB060E"/>
    <w:rsid w:val="00DB06AE"/>
    <w:rsid w:val="00DB0BD3"/>
    <w:rsid w:val="00DB0D9B"/>
    <w:rsid w:val="00DB1061"/>
    <w:rsid w:val="00DB1136"/>
    <w:rsid w:val="00DB12F2"/>
    <w:rsid w:val="00DB1384"/>
    <w:rsid w:val="00DB1F38"/>
    <w:rsid w:val="00DB23A4"/>
    <w:rsid w:val="00DB371C"/>
    <w:rsid w:val="00DB37AD"/>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240E"/>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37B2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11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3FE6"/>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1755A"/>
    <w:rsid w:val="00F20A26"/>
    <w:rsid w:val="00F21117"/>
    <w:rsid w:val="00F21151"/>
    <w:rsid w:val="00F21E80"/>
    <w:rsid w:val="00F221C0"/>
    <w:rsid w:val="00F223FA"/>
    <w:rsid w:val="00F2286C"/>
    <w:rsid w:val="00F22C24"/>
    <w:rsid w:val="00F23456"/>
    <w:rsid w:val="00F23BD4"/>
    <w:rsid w:val="00F24D30"/>
    <w:rsid w:val="00F24E19"/>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4542"/>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163"/>
    <w:rsid w:val="00F5139B"/>
    <w:rsid w:val="00F513A6"/>
    <w:rsid w:val="00F513EF"/>
    <w:rsid w:val="00F51650"/>
    <w:rsid w:val="00F520E1"/>
    <w:rsid w:val="00F52441"/>
    <w:rsid w:val="00F52E58"/>
    <w:rsid w:val="00F5407B"/>
    <w:rsid w:val="00F5421E"/>
    <w:rsid w:val="00F5497F"/>
    <w:rsid w:val="00F560E0"/>
    <w:rsid w:val="00F6033C"/>
    <w:rsid w:val="00F60676"/>
    <w:rsid w:val="00F607C3"/>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1EAF"/>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344D"/>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344D"/>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elering.ee/limiteeritud-ptr-ide-oksjon-2/"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C3FA-1924-4857-8D6F-202F7D0D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947E4-3257-4991-AC45-80C5E19B33A8}">
  <ds:schemaRefs>
    <ds:schemaRef ds:uri="http://schemas.microsoft.com/sharepoint/v3/contenttype/forms"/>
  </ds:schemaRefs>
</ds:datastoreItem>
</file>

<file path=customXml/itemProps3.xml><?xml version="1.0" encoding="utf-8"?>
<ds:datastoreItem xmlns:ds="http://schemas.openxmlformats.org/officeDocument/2006/customXml" ds:itemID="{E6B315F2-4805-4DD6-ACA1-9A7D5968D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B4274-40B7-4165-A927-DA3734F9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11869</Characters>
  <Application>Microsoft Office Word</Application>
  <DocSecurity>0</DocSecurity>
  <Lines>98</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13888</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2016-01-21T12:50:00Z</cp:lastPrinted>
  <dcterms:created xsi:type="dcterms:W3CDTF">2016-03-04T08:22:00Z</dcterms:created>
  <dcterms:modified xsi:type="dcterms:W3CDTF">2016-03-04T08:22:00Z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0x0101007ABAF5573C33EE4FB6786A3241CA8789</vt:lpwstr>
  </property>
</Properties>
</file>