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2C30" w14:textId="77777777" w:rsidR="00DF06B0" w:rsidRDefault="00DF06B0" w:rsidP="0022344D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720DC1ED" w:rsidR="000710D4" w:rsidRPr="000710D4" w:rsidRDefault="008452A0" w:rsidP="0022344D">
      <w:pPr>
        <w:pStyle w:val="Heading1"/>
      </w:pPr>
      <w:r>
        <w:t>Elektriturg – 201</w:t>
      </w:r>
      <w:r w:rsidR="008B5630">
        <w:t>6</w:t>
      </w:r>
      <w:r>
        <w:t xml:space="preserve"> </w:t>
      </w:r>
      <w:r w:rsidR="00097417">
        <w:t>veebr</w:t>
      </w:r>
      <w:r w:rsidR="008B5630">
        <w:t>uar</w:t>
      </w:r>
    </w:p>
    <w:p w14:paraId="3786B4E0" w14:textId="622F7D94" w:rsidR="008452A0" w:rsidRDefault="00097417" w:rsidP="0022344D">
      <w:r>
        <w:t>04</w:t>
      </w:r>
      <w:r w:rsidR="008452A0">
        <w:t>.2016</w:t>
      </w:r>
    </w:p>
    <w:p w14:paraId="6EEF1A85" w14:textId="287C9FA2" w:rsidR="008452A0" w:rsidRDefault="00687E49" w:rsidP="008452A0">
      <w:pPr>
        <w:pStyle w:val="NoSpacing"/>
        <w:numPr>
          <w:ilvl w:val="0"/>
          <w:numId w:val="28"/>
        </w:numPr>
      </w:pPr>
      <w:r>
        <w:t xml:space="preserve">Põhjamaade elektribörsi Nord Pool </w:t>
      </w:r>
      <w:r w:rsidR="008452A0">
        <w:t>Eesti hinnapiir</w:t>
      </w:r>
      <w:r>
        <w:softHyphen/>
      </w:r>
      <w:r w:rsidR="008452A0">
        <w:t xml:space="preserve">konna keskmine hind oli </w:t>
      </w:r>
      <w:r w:rsidR="00C03ECB">
        <w:t>veebruaris</w:t>
      </w:r>
      <w:r w:rsidR="008452A0">
        <w:t xml:space="preserve"> </w:t>
      </w:r>
      <w:r w:rsidR="00C03ECB">
        <w:t>28,28</w:t>
      </w:r>
      <w:r w:rsidR="008452A0">
        <w:t xml:space="preserve"> €/MWh ehk kuises võrdluses </w:t>
      </w:r>
      <w:r w:rsidR="00C03ECB">
        <w:t>veerandi võrra m</w:t>
      </w:r>
      <w:bookmarkStart w:id="0" w:name="_GoBack"/>
      <w:bookmarkEnd w:id="0"/>
      <w:r w:rsidR="00C03ECB">
        <w:t>adalam</w:t>
      </w:r>
      <w:r w:rsidR="008452A0">
        <w:t>;</w:t>
      </w:r>
    </w:p>
    <w:p w14:paraId="7354F697" w14:textId="5D87515F" w:rsidR="008452A0" w:rsidRDefault="008452A0" w:rsidP="008452A0">
      <w:pPr>
        <w:pStyle w:val="NoSpacing"/>
        <w:numPr>
          <w:ilvl w:val="0"/>
          <w:numId w:val="28"/>
        </w:numPr>
      </w:pPr>
      <w:r>
        <w:t>Nord Pool</w:t>
      </w:r>
      <w:r w:rsidR="00687E49">
        <w:t xml:space="preserve"> börsi</w:t>
      </w:r>
      <w:r>
        <w:t xml:space="preserve"> </w:t>
      </w:r>
      <w:r w:rsidR="008B5630">
        <w:t>süsteemi</w:t>
      </w:r>
      <w:r>
        <w:t xml:space="preserve">hind </w:t>
      </w:r>
      <w:r w:rsidR="00C03ECB">
        <w:t>langes</w:t>
      </w:r>
      <w:r>
        <w:t xml:space="preserve"> </w:t>
      </w:r>
      <w:r w:rsidR="00C03ECB">
        <w:t>33</w:t>
      </w:r>
      <w:r w:rsidR="008B5630">
        <w:t xml:space="preserve">% </w:t>
      </w:r>
      <w:r>
        <w:t xml:space="preserve">võrra tasemele </w:t>
      </w:r>
      <w:r w:rsidR="00C03ECB">
        <w:t>1</w:t>
      </w:r>
      <w:r w:rsidR="008B5630">
        <w:t>9</w:t>
      </w:r>
      <w:r>
        <w:t>,</w:t>
      </w:r>
      <w:r w:rsidR="00C03ECB">
        <w:t>94</w:t>
      </w:r>
      <w:r>
        <w:t xml:space="preserve"> €/MWh;</w:t>
      </w:r>
    </w:p>
    <w:p w14:paraId="7FC50852" w14:textId="305E54C9" w:rsidR="008452A0" w:rsidRDefault="00E608B9" w:rsidP="00C03ECB">
      <w:pPr>
        <w:pStyle w:val="NoSpacing"/>
        <w:numPr>
          <w:ilvl w:val="0"/>
          <w:numId w:val="28"/>
        </w:numPr>
      </w:pPr>
      <w:r>
        <w:t>Baltikumi lisandunud</w:t>
      </w:r>
      <w:r w:rsidR="00C03ECB" w:rsidRPr="00C03ECB">
        <w:t xml:space="preserve"> elektriühendus</w:t>
      </w:r>
      <w:r>
        <w:t>t</w:t>
      </w:r>
      <w:r w:rsidR="00C03ECB" w:rsidRPr="00C03ECB">
        <w:t>e käivitumise järel alanes veebruaris oluliselt elektri börsihind Lätis ja Leedus, mis jõudis ligilähedaselt Eesti hinna tasemele</w:t>
      </w:r>
      <w:r w:rsidR="00C03ECB">
        <w:t xml:space="preserve">, kusjuures </w:t>
      </w:r>
      <w:r w:rsidR="008452A0">
        <w:t xml:space="preserve">Eesti ja Läti hinnapiirkondade hinnad ühtisid päev-ette turul </w:t>
      </w:r>
      <w:r w:rsidR="00C03ECB">
        <w:t>529</w:t>
      </w:r>
      <w:r w:rsidR="008452A0">
        <w:t xml:space="preserve"> tunnil ehk </w:t>
      </w:r>
      <w:r w:rsidR="00C03ECB">
        <w:t>71</w:t>
      </w:r>
      <w:r w:rsidR="008452A0">
        <w:t xml:space="preserve">% </w:t>
      </w:r>
      <w:r w:rsidR="00C03ECB">
        <w:t xml:space="preserve">veebruari </w:t>
      </w:r>
      <w:r w:rsidR="008452A0">
        <w:t>tundidest;</w:t>
      </w:r>
    </w:p>
    <w:p w14:paraId="311F4999" w14:textId="7CB7B751" w:rsidR="008452A0" w:rsidRDefault="008452A0" w:rsidP="00BD5398">
      <w:pPr>
        <w:pStyle w:val="NoSpacing"/>
        <w:numPr>
          <w:ilvl w:val="0"/>
          <w:numId w:val="28"/>
        </w:numPr>
      </w:pPr>
      <w:r>
        <w:t xml:space="preserve">Eesti ja Soome päev-ette hinnad ühtisid </w:t>
      </w:r>
      <w:r w:rsidR="00C03ECB">
        <w:t>veebr</w:t>
      </w:r>
      <w:r w:rsidR="008B5630">
        <w:t>uaris</w:t>
      </w:r>
      <w:r w:rsidR="004D3B95">
        <w:t xml:space="preserve"> </w:t>
      </w:r>
      <w:r w:rsidR="00C03ECB">
        <w:t>486</w:t>
      </w:r>
      <w:r>
        <w:t xml:space="preserve"> tunnil ehk </w:t>
      </w:r>
      <w:r w:rsidR="00C03ECB">
        <w:t>65</w:t>
      </w:r>
      <w:r>
        <w:t>% ajast;</w:t>
      </w:r>
    </w:p>
    <w:p w14:paraId="7F997A47" w14:textId="5AA69E8E" w:rsidR="008452A0" w:rsidRPr="008452A0" w:rsidRDefault="00C03ECB" w:rsidP="00BD5398">
      <w:pPr>
        <w:pStyle w:val="NoSpacing"/>
        <w:numPr>
          <w:ilvl w:val="0"/>
          <w:numId w:val="28"/>
        </w:numPr>
      </w:pPr>
      <w:r>
        <w:t>Veebr</w:t>
      </w:r>
      <w:r w:rsidR="008B5630">
        <w:t>uari</w:t>
      </w:r>
      <w:r>
        <w:t xml:space="preserve"> </w:t>
      </w:r>
      <w:r w:rsidR="008452A0">
        <w:t>börsihindade erinevuse alusel maksid limiteeritud PTR-e ostnud turu</w:t>
      </w:r>
      <w:r w:rsidR="002E69A8">
        <w:softHyphen/>
      </w:r>
      <w:r w:rsidR="008452A0">
        <w:t>osalis</w:t>
      </w:r>
      <w:r w:rsidR="00E608B9">
        <w:t>ed süsteemi</w:t>
      </w:r>
      <w:r w:rsidR="009703A7">
        <w:softHyphen/>
      </w:r>
      <w:r w:rsidR="00E608B9">
        <w:t>halduri</w:t>
      </w:r>
      <w:r w:rsidR="008452A0">
        <w:t xml:space="preserve">tele kokku </w:t>
      </w:r>
      <w:r w:rsidR="00E608B9">
        <w:t>0,9</w:t>
      </w:r>
      <w:r w:rsidR="008452A0">
        <w:t xml:space="preserve"> miljonit eurot.</w:t>
      </w:r>
    </w:p>
    <w:p w14:paraId="4CCFC003" w14:textId="77777777" w:rsidR="008452A0" w:rsidRPr="008452A0" w:rsidRDefault="008452A0" w:rsidP="0022344D"/>
    <w:p w14:paraId="568AE7A7" w14:textId="21699167" w:rsidR="00052F09" w:rsidRDefault="002E69A8" w:rsidP="0022344D">
      <w:pPr>
        <w:pStyle w:val="Heading2"/>
      </w:pPr>
      <w:r>
        <w:t>Elektribörside hinnad</w:t>
      </w:r>
    </w:p>
    <w:p w14:paraId="3F23AFA1" w14:textId="01EE3161" w:rsidR="00A92BC3" w:rsidRDefault="00EC3FE6" w:rsidP="0022344D">
      <w:r>
        <w:t>Jaanuari</w:t>
      </w:r>
      <w:r w:rsidR="00C03ECB">
        <w:t>ga võrreldes lange</w:t>
      </w:r>
      <w:r>
        <w:t xml:space="preserve">sid </w:t>
      </w:r>
      <w:r w:rsidR="002E69A8">
        <w:t xml:space="preserve">Põhjamaade elektribörsil Nord Pool (NP) </w:t>
      </w:r>
      <w:r w:rsidR="00AA1B2E">
        <w:t>hinnad kõikides hinnapiirkondades</w:t>
      </w:r>
      <w:r w:rsidR="00C03ECB">
        <w:t xml:space="preserve"> vähe</w:t>
      </w:r>
      <w:r w:rsidR="00D91A2A">
        <w:softHyphen/>
      </w:r>
      <w:r w:rsidR="00C03ECB">
        <w:t>malt veerandi võrra</w:t>
      </w:r>
      <w:r w:rsidR="00AA1B2E">
        <w:t>.</w:t>
      </w:r>
      <w:r w:rsidR="002E69A8">
        <w:t xml:space="preserve"> Süsteemi</w:t>
      </w:r>
      <w:r w:rsidR="0014591B">
        <w:t xml:space="preserve"> kuu keskmine </w:t>
      </w:r>
      <w:r w:rsidR="002E69A8">
        <w:t xml:space="preserve">hind </w:t>
      </w:r>
      <w:r w:rsidR="0014591B">
        <w:t xml:space="preserve">oli </w:t>
      </w:r>
      <w:r w:rsidR="00047459">
        <w:t>19,94</w:t>
      </w:r>
      <w:r w:rsidR="0014591B">
        <w:t xml:space="preserve"> €/MWh ehk </w:t>
      </w:r>
      <w:r w:rsidR="00047459">
        <w:t xml:space="preserve">jaanuariga </w:t>
      </w:r>
      <w:r w:rsidR="002E69A8">
        <w:t>võrrel</w:t>
      </w:r>
      <w:r w:rsidR="0022344D">
        <w:softHyphen/>
      </w:r>
      <w:r w:rsidR="002E69A8">
        <w:t xml:space="preserve">des </w:t>
      </w:r>
      <w:r w:rsidR="00047459">
        <w:t>33,2</w:t>
      </w:r>
      <w:r w:rsidR="0014591B">
        <w:t xml:space="preserve">% </w:t>
      </w:r>
      <w:r w:rsidR="00047459">
        <w:t>madalam</w:t>
      </w:r>
      <w:r w:rsidR="002E69A8">
        <w:t>.</w:t>
      </w:r>
      <w:r w:rsidR="00C623E7">
        <w:t xml:space="preserve"> </w:t>
      </w:r>
      <w:r w:rsidR="00047459">
        <w:t>V</w:t>
      </w:r>
      <w:r w:rsidR="00C623E7">
        <w:t xml:space="preserve">eeolud </w:t>
      </w:r>
      <w:r w:rsidR="00687E49">
        <w:t xml:space="preserve">Põhjamaades on head </w:t>
      </w:r>
      <w:r w:rsidR="0022344D">
        <w:t>–</w:t>
      </w:r>
      <w:r w:rsidR="002E69A8">
        <w:t xml:space="preserve"> Norra, Rootsi ja</w:t>
      </w:r>
      <w:r w:rsidR="0022344D">
        <w:t xml:space="preserve"> Soome </w:t>
      </w:r>
      <w:proofErr w:type="spellStart"/>
      <w:r w:rsidR="0022344D">
        <w:t>hüdro</w:t>
      </w:r>
      <w:r w:rsidR="00C623E7">
        <w:softHyphen/>
      </w:r>
      <w:r w:rsidR="0022344D">
        <w:t>reser</w:t>
      </w:r>
      <w:r w:rsidR="00D91A2A">
        <w:softHyphen/>
      </w:r>
      <w:r w:rsidR="0022344D">
        <w:t>vuaaride</w:t>
      </w:r>
      <w:proofErr w:type="spellEnd"/>
      <w:r w:rsidR="0022344D">
        <w:t xml:space="preserve"> täitu</w:t>
      </w:r>
      <w:r w:rsidR="002E69A8">
        <w:t>vus on eelnevate aast</w:t>
      </w:r>
      <w:r w:rsidR="0022344D">
        <w:t>atega võrreldes jätku</w:t>
      </w:r>
      <w:r w:rsidR="00D91A2A">
        <w:softHyphen/>
      </w:r>
      <w:r w:rsidR="0022344D">
        <w:t xml:space="preserve">valt </w:t>
      </w:r>
      <w:r w:rsidR="002E69A8">
        <w:t>suurem</w:t>
      </w:r>
      <w:r w:rsidR="000E31EA">
        <w:t>,</w:t>
      </w:r>
      <w:r w:rsidR="002E69A8">
        <w:t xml:space="preserve"> </w:t>
      </w:r>
      <w:r w:rsidR="00F910DB">
        <w:t>veebr</w:t>
      </w:r>
      <w:r w:rsidR="00687E49">
        <w:t>uari</w:t>
      </w:r>
      <w:r w:rsidR="002E69A8">
        <w:t xml:space="preserve"> lõpu</w:t>
      </w:r>
      <w:r w:rsidR="00F910DB">
        <w:t xml:space="preserve"> </w:t>
      </w:r>
      <w:r w:rsidR="002E69A8">
        <w:t>s</w:t>
      </w:r>
      <w:r w:rsidR="00F910DB">
        <w:t>eisuga oli täituvus ca 53</w:t>
      </w:r>
      <w:r w:rsidR="002E69A8">
        <w:t>%</w:t>
      </w:r>
      <w:r w:rsidR="0022344D">
        <w:t xml:space="preserve"> tasemel</w:t>
      </w:r>
      <w:r w:rsidR="002E69A8">
        <w:t xml:space="preserve"> maksimaalsest (100% 02.01.2012 121 429 </w:t>
      </w:r>
      <w:proofErr w:type="spellStart"/>
      <w:r w:rsidR="002E69A8">
        <w:t>GWh</w:t>
      </w:r>
      <w:proofErr w:type="spellEnd"/>
      <w:r w:rsidR="002E69A8">
        <w:t>)</w:t>
      </w:r>
      <w:r w:rsidR="00F910DB">
        <w:t>, kusjuures viimaste aastate keskmine on veebruari lõpu s</w:t>
      </w:r>
      <w:r w:rsidR="00D91A2A">
        <w:t>e</w:t>
      </w:r>
      <w:r w:rsidR="00F910DB">
        <w:t>isuga 46% juures</w:t>
      </w:r>
      <w:r w:rsidR="002E69A8">
        <w:t>.</w:t>
      </w:r>
    </w:p>
    <w:p w14:paraId="70D021B4" w14:textId="77777777" w:rsidR="00A92BC3" w:rsidRDefault="00A92BC3" w:rsidP="0022344D"/>
    <w:p w14:paraId="3AB9E3B8" w14:textId="495D5EDE" w:rsidR="00B82C56" w:rsidRDefault="00047459" w:rsidP="00C85D7A">
      <w:pPr>
        <w:spacing w:after="40"/>
      </w:pPr>
      <w:r>
        <w:rPr>
          <w:noProof/>
        </w:rPr>
        <w:drawing>
          <wp:inline distT="0" distB="0" distL="0" distR="0" wp14:anchorId="1DAEE6F9" wp14:editId="3426A38E">
            <wp:extent cx="29718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2F82" w14:textId="6B0AD7CA" w:rsidR="0022344D" w:rsidRPr="0022344D" w:rsidRDefault="0022344D" w:rsidP="0022344D">
      <w:pPr>
        <w:rPr>
          <w:rStyle w:val="SubtleEmphasis"/>
        </w:rPr>
      </w:pPr>
      <w:proofErr w:type="spellStart"/>
      <w:r w:rsidRPr="0022344D">
        <w:rPr>
          <w:rStyle w:val="SubtleEmphasis"/>
        </w:rPr>
        <w:t>Hüdroreservuaaride</w:t>
      </w:r>
      <w:proofErr w:type="spellEnd"/>
      <w:r w:rsidRPr="0022344D">
        <w:rPr>
          <w:rStyle w:val="SubtleEmphasis"/>
        </w:rPr>
        <w:t xml:space="preserve"> täituvus Põhjamaades</w:t>
      </w:r>
      <w:r>
        <w:rPr>
          <w:rStyle w:val="SubtleEmphasis"/>
        </w:rPr>
        <w:t xml:space="preserve"> 201</w:t>
      </w:r>
      <w:r w:rsidR="00687E49">
        <w:rPr>
          <w:rStyle w:val="SubtleEmphasis"/>
        </w:rPr>
        <w:t>2</w:t>
      </w:r>
      <w:r>
        <w:rPr>
          <w:rStyle w:val="SubtleEmphasis"/>
        </w:rPr>
        <w:t>-201</w:t>
      </w:r>
      <w:r w:rsidR="00687E49">
        <w:rPr>
          <w:rStyle w:val="SubtleEmphasis"/>
        </w:rPr>
        <w:t>6</w:t>
      </w:r>
    </w:p>
    <w:p w14:paraId="0861DCCB" w14:textId="77777777" w:rsidR="00B82C56" w:rsidRDefault="00B82C56" w:rsidP="0022344D"/>
    <w:p w14:paraId="2D600E25" w14:textId="4C043111" w:rsidR="00B82C56" w:rsidRDefault="001C1284" w:rsidP="0022344D">
      <w:r>
        <w:t xml:space="preserve">Erinevalt jaanuarist ei olnud veebruarikuus </w:t>
      </w:r>
      <w:r w:rsidR="00D91A2A">
        <w:t>tavatu</w:t>
      </w:r>
      <w:r>
        <w:t>lt kül</w:t>
      </w:r>
      <w:r w:rsidR="00D91A2A">
        <w:softHyphen/>
      </w:r>
      <w:r>
        <w:t>masid ilmasid. Sellest tulenevalt e</w:t>
      </w:r>
      <w:r w:rsidR="0022344D">
        <w:t xml:space="preserve">lektri tootmine </w:t>
      </w:r>
      <w:r>
        <w:t>Põhja</w:t>
      </w:r>
      <w:r w:rsidR="00D91A2A">
        <w:softHyphen/>
      </w:r>
      <w:r>
        <w:t xml:space="preserve">maades veebruaris langes: </w:t>
      </w:r>
      <w:r w:rsidR="00C63E2F">
        <w:t xml:space="preserve">Norras </w:t>
      </w:r>
      <w:r w:rsidR="001E6517">
        <w:t>1</w:t>
      </w:r>
      <w:r>
        <w:t>4</w:t>
      </w:r>
      <w:r w:rsidR="00C63E2F">
        <w:t xml:space="preserve">%, Rootsis </w:t>
      </w:r>
      <w:r>
        <w:t>8</w:t>
      </w:r>
      <w:r w:rsidR="00C63E2F">
        <w:t xml:space="preserve">%, Soomes </w:t>
      </w:r>
      <w:r>
        <w:t>15</w:t>
      </w:r>
      <w:r w:rsidR="00C63E2F">
        <w:t xml:space="preserve">% ja Taanis </w:t>
      </w:r>
      <w:r>
        <w:t>1</w:t>
      </w:r>
      <w:r w:rsidR="001E6517">
        <w:t>9</w:t>
      </w:r>
      <w:r w:rsidR="00C63E2F">
        <w:t>%.</w:t>
      </w:r>
      <w:r w:rsidR="00C623E7">
        <w:t xml:space="preserve"> </w:t>
      </w:r>
      <w:r>
        <w:t>Ka t</w:t>
      </w:r>
      <w:r w:rsidR="00C623E7">
        <w:t xml:space="preserve">arbimine </w:t>
      </w:r>
      <w:r>
        <w:t>langes</w:t>
      </w:r>
      <w:r w:rsidR="00C623E7">
        <w:t>:</w:t>
      </w:r>
      <w:r w:rsidR="00C623E7" w:rsidRPr="00C623E7">
        <w:t xml:space="preserve"> </w:t>
      </w:r>
      <w:r w:rsidR="00C623E7">
        <w:t xml:space="preserve">Norras </w:t>
      </w:r>
      <w:r>
        <w:t xml:space="preserve">ja </w:t>
      </w:r>
      <w:r w:rsidR="00C623E7">
        <w:t xml:space="preserve">Rootsis </w:t>
      </w:r>
      <w:r>
        <w:t>13</w:t>
      </w:r>
      <w:r w:rsidR="00C623E7">
        <w:t xml:space="preserve">%, Soomes </w:t>
      </w:r>
      <w:r>
        <w:t>18</w:t>
      </w:r>
      <w:r w:rsidR="00C623E7">
        <w:t xml:space="preserve">% ja Taanis </w:t>
      </w:r>
      <w:r>
        <w:t>9</w:t>
      </w:r>
      <w:r w:rsidR="00C623E7">
        <w:t>%. K</w:t>
      </w:r>
      <w:r w:rsidR="001E6517">
        <w:t>uu k</w:t>
      </w:r>
      <w:r w:rsidR="00C623E7">
        <w:t>okkuvõt</w:t>
      </w:r>
      <w:r w:rsidR="001E6517">
        <w:t xml:space="preserve">tes tähendas see seda, et </w:t>
      </w:r>
      <w:r>
        <w:t xml:space="preserve">elektribilanss oli </w:t>
      </w:r>
      <w:r w:rsidR="001E6517">
        <w:t>Norra</w:t>
      </w:r>
      <w:r>
        <w:t xml:space="preserve"> puhul</w:t>
      </w:r>
      <w:r w:rsidR="001E6517">
        <w:t xml:space="preserve"> </w:t>
      </w:r>
      <w:r>
        <w:t>7</w:t>
      </w:r>
      <w:r w:rsidR="00C623E7">
        <w:t xml:space="preserve"> ning Rootsi</w:t>
      </w:r>
      <w:r>
        <w:t xml:space="preserve"> puhul</w:t>
      </w:r>
      <w:r w:rsidR="00C623E7">
        <w:t xml:space="preserve"> </w:t>
      </w:r>
      <w:r>
        <w:t>12 protsendiga plussis</w:t>
      </w:r>
      <w:r w:rsidR="00C623E7">
        <w:t xml:space="preserve">. </w:t>
      </w:r>
      <w:r>
        <w:t xml:space="preserve">Soomes kaeti tarbimisest kodumaise elektriga ca 80%, </w:t>
      </w:r>
      <w:r w:rsidR="001E6517">
        <w:t>Taani suutis tarbimise</w:t>
      </w:r>
      <w:r>
        <w:t>st</w:t>
      </w:r>
      <w:r w:rsidR="001E6517">
        <w:t xml:space="preserve"> oma toodanguga </w:t>
      </w:r>
      <w:r>
        <w:t>katta umbes 93%</w:t>
      </w:r>
      <w:r w:rsidR="00C623E7">
        <w:t xml:space="preserve">. </w:t>
      </w:r>
    </w:p>
    <w:p w14:paraId="590B7655" w14:textId="77777777" w:rsidR="00B82C56" w:rsidRDefault="00B82C56" w:rsidP="0022344D"/>
    <w:p w14:paraId="27C7935E" w14:textId="6C330AF5" w:rsidR="00B82C56" w:rsidRDefault="00AF5480" w:rsidP="0022344D">
      <w:r>
        <w:t>Läti</w:t>
      </w:r>
      <w:r w:rsidR="009C7C9F">
        <w:t xml:space="preserve">s </w:t>
      </w:r>
      <w:r w:rsidR="001C1284">
        <w:t xml:space="preserve">ja Leedu elektri börsihinnad näitasid veebruaris NP süsteemis suurimat langust: </w:t>
      </w:r>
      <w:r w:rsidR="00E608B9">
        <w:t>mõlema hinnapiirkonna kuu keskmiseks hinnaks kujunes 29,65 €/MWh</w:t>
      </w:r>
      <w:r w:rsidR="00EE2E7C">
        <w:t xml:space="preserve"> (</w:t>
      </w:r>
      <w:r w:rsidR="00E608B9">
        <w:t>Läti piirkonna hinnalangus oli 40,7</w:t>
      </w:r>
      <w:r w:rsidR="009C7C9F">
        <w:t xml:space="preserve">% ja </w:t>
      </w:r>
      <w:r>
        <w:t>Leedu</w:t>
      </w:r>
      <w:r w:rsidR="009C7C9F">
        <w:t xml:space="preserve"> </w:t>
      </w:r>
      <w:r w:rsidR="00E608B9">
        <w:t>puhul oli lan</w:t>
      </w:r>
      <w:r w:rsidR="00D91A2A">
        <w:softHyphen/>
      </w:r>
      <w:r w:rsidR="00E608B9">
        <w:t>guseks 41,1%</w:t>
      </w:r>
      <w:r w:rsidR="00EE2E7C">
        <w:t>)</w:t>
      </w:r>
      <w:r w:rsidR="007822CB">
        <w:t>.</w:t>
      </w:r>
      <w:r w:rsidR="00E608B9">
        <w:t xml:space="preserve"> </w:t>
      </w:r>
      <w:r w:rsidR="00EE2E7C">
        <w:t>See hind oli</w:t>
      </w:r>
      <w:r w:rsidR="00EE2E7C" w:rsidRPr="00EE2E7C">
        <w:t xml:space="preserve"> NP Läti ja L</w:t>
      </w:r>
      <w:r w:rsidR="00EE2E7C">
        <w:t>eedu hinnapiirkondade madalaim</w:t>
      </w:r>
      <w:r w:rsidR="00EE2E7C" w:rsidRPr="00EE2E7C">
        <w:t xml:space="preserve"> hind vastavate piirkondade moodustamisest alates.</w:t>
      </w:r>
      <w:r w:rsidR="00EE2E7C">
        <w:t xml:space="preserve"> </w:t>
      </w:r>
      <w:r w:rsidR="00E608B9">
        <w:t xml:space="preserve">Suure hinnalanguse tõi kaasa tööd alustanud kaabelühendused: </w:t>
      </w:r>
      <w:r w:rsidR="00E608B9" w:rsidRPr="00E608B9">
        <w:t>Leedu</w:t>
      </w:r>
      <w:r w:rsidR="00D91A2A">
        <w:t xml:space="preserve"> ja </w:t>
      </w:r>
      <w:r w:rsidR="00E608B9" w:rsidRPr="00E608B9">
        <w:t xml:space="preserve">Poola </w:t>
      </w:r>
      <w:r w:rsidR="00E608B9">
        <w:t>vaheli</w:t>
      </w:r>
      <w:r w:rsidR="00D91A2A">
        <w:t>s</w:t>
      </w:r>
      <w:r w:rsidR="00E608B9">
        <w:t xml:space="preserve">e </w:t>
      </w:r>
      <w:proofErr w:type="spellStart"/>
      <w:r w:rsidR="00E608B9" w:rsidRPr="00E608B9">
        <w:t>LitPol</w:t>
      </w:r>
      <w:proofErr w:type="spellEnd"/>
      <w:r w:rsidR="00E608B9" w:rsidRPr="00E608B9">
        <w:t xml:space="preserve"> </w:t>
      </w:r>
      <w:r w:rsidR="00D91A2A">
        <w:t>kaabli</w:t>
      </w:r>
      <w:r w:rsidR="00E608B9" w:rsidRPr="00E608B9">
        <w:t xml:space="preserve"> regulaarne talitlus </w:t>
      </w:r>
      <w:r w:rsidR="00E608B9">
        <w:t>algas</w:t>
      </w:r>
      <w:r w:rsidR="00E608B9" w:rsidRPr="00E608B9">
        <w:t xml:space="preserve"> 3.02.2016</w:t>
      </w:r>
      <w:r w:rsidR="00E608B9">
        <w:t xml:space="preserve"> </w:t>
      </w:r>
      <w:r w:rsidR="00D91A2A">
        <w:t>ning</w:t>
      </w:r>
      <w:r w:rsidR="00E608B9">
        <w:t xml:space="preserve"> Leedu</w:t>
      </w:r>
      <w:r w:rsidR="00D91A2A">
        <w:t xml:space="preserve"> ja </w:t>
      </w:r>
      <w:r w:rsidR="00E608B9">
        <w:t xml:space="preserve">Rootsi </w:t>
      </w:r>
      <w:r w:rsidR="00D91A2A">
        <w:t xml:space="preserve">vahelise </w:t>
      </w:r>
      <w:proofErr w:type="spellStart"/>
      <w:r w:rsidR="00E608B9" w:rsidRPr="00E608B9">
        <w:t>NordBalt</w:t>
      </w:r>
      <w:proofErr w:type="spellEnd"/>
      <w:r w:rsidR="00E608B9" w:rsidRPr="00E608B9">
        <w:t xml:space="preserve"> </w:t>
      </w:r>
      <w:r w:rsidR="00E608B9">
        <w:t xml:space="preserve">kaabli </w:t>
      </w:r>
      <w:r w:rsidR="00E608B9" w:rsidRPr="00E608B9">
        <w:t>testperiood</w:t>
      </w:r>
      <w:r w:rsidR="00E608B9">
        <w:t>iga</w:t>
      </w:r>
      <w:r w:rsidR="00E608B9" w:rsidRPr="00E608B9">
        <w:t xml:space="preserve"> al</w:t>
      </w:r>
      <w:r w:rsidR="00E608B9">
        <w:t>us</w:t>
      </w:r>
      <w:r w:rsidR="00E608B9" w:rsidRPr="00E608B9">
        <w:t>t</w:t>
      </w:r>
      <w:r w:rsidR="00E608B9">
        <w:t>ati 17.02.2016.</w:t>
      </w:r>
    </w:p>
    <w:p w14:paraId="2E6D339F" w14:textId="77777777" w:rsidR="00B82C56" w:rsidRDefault="00B82C56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54"/>
      </w:tblGrid>
      <w:tr w:rsidR="00D231C5" w:rsidRPr="00D231C5" w14:paraId="765CEC47" w14:textId="77777777" w:rsidTr="00C85D7A">
        <w:tc>
          <w:tcPr>
            <w:tcW w:w="1560" w:type="dxa"/>
            <w:vMerge w:val="restart"/>
            <w:shd w:val="clear" w:color="auto" w:fill="007087"/>
            <w:vAlign w:val="center"/>
          </w:tcPr>
          <w:p w14:paraId="45A222A0" w14:textId="20267F09" w:rsidR="00D231C5" w:rsidRPr="00D231C5" w:rsidRDefault="00D231C5" w:rsidP="00D231C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Hinnapiirkond</w:t>
            </w:r>
          </w:p>
        </w:tc>
        <w:tc>
          <w:tcPr>
            <w:tcW w:w="3113" w:type="dxa"/>
            <w:gridSpan w:val="2"/>
            <w:shd w:val="clear" w:color="auto" w:fill="007087"/>
            <w:vAlign w:val="center"/>
          </w:tcPr>
          <w:p w14:paraId="2F088ED9" w14:textId="2C845D3A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D231C5" w:rsidRPr="00D231C5" w14:paraId="2A57DD93" w14:textId="77777777" w:rsidTr="00C85D7A">
        <w:tc>
          <w:tcPr>
            <w:tcW w:w="1560" w:type="dxa"/>
            <w:vMerge/>
            <w:shd w:val="clear" w:color="auto" w:fill="007087"/>
            <w:vAlign w:val="center"/>
          </w:tcPr>
          <w:p w14:paraId="65E14AA4" w14:textId="77777777" w:rsidR="00D231C5" w:rsidRPr="00D231C5" w:rsidRDefault="00D231C5" w:rsidP="00D231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007087"/>
            <w:vAlign w:val="center"/>
          </w:tcPr>
          <w:p w14:paraId="0EF95052" w14:textId="657C8674" w:rsidR="00D231C5" w:rsidRPr="00D231C5" w:rsidRDefault="00D231C5" w:rsidP="00E608B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9C7C9F">
              <w:rPr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608B9"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9C7C9F">
              <w:rPr>
                <w:b/>
                <w:color w:val="FFFFFF" w:themeColor="background1"/>
                <w:sz w:val="16"/>
                <w:szCs w:val="16"/>
              </w:rPr>
              <w:t>ua</w:t>
            </w:r>
            <w:r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554" w:type="dxa"/>
            <w:shd w:val="clear" w:color="auto" w:fill="007087"/>
            <w:vAlign w:val="center"/>
          </w:tcPr>
          <w:p w14:paraId="0D8B0BFF" w14:textId="52D81A8E" w:rsidR="00D231C5" w:rsidRPr="00D231C5" w:rsidRDefault="00D231C5" w:rsidP="00E608B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E608B9">
              <w:rPr>
                <w:b/>
                <w:color w:val="FFFFFF" w:themeColor="background1"/>
                <w:sz w:val="16"/>
                <w:szCs w:val="16"/>
              </w:rPr>
              <w:t>6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E608B9">
              <w:rPr>
                <w:b/>
                <w:color w:val="FFFFFF" w:themeColor="background1"/>
                <w:sz w:val="16"/>
                <w:szCs w:val="16"/>
              </w:rPr>
              <w:t>jaanua</w:t>
            </w:r>
            <w:r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E608B9" w:rsidRPr="00D231C5" w14:paraId="7E42BB8B" w14:textId="77777777" w:rsidTr="00C85D7A">
        <w:tc>
          <w:tcPr>
            <w:tcW w:w="1560" w:type="dxa"/>
            <w:vAlign w:val="center"/>
          </w:tcPr>
          <w:p w14:paraId="07DC2320" w14:textId="373C0AAC" w:rsidR="00E608B9" w:rsidRPr="00D231C5" w:rsidRDefault="00E608B9" w:rsidP="00E608B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1559" w:type="dxa"/>
            <w:vAlign w:val="center"/>
          </w:tcPr>
          <w:p w14:paraId="233C4A7C" w14:textId="2EDC91BE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28,28</w:t>
            </w:r>
          </w:p>
        </w:tc>
        <w:tc>
          <w:tcPr>
            <w:tcW w:w="1554" w:type="dxa"/>
            <w:vAlign w:val="center"/>
          </w:tcPr>
          <w:p w14:paraId="5B0231F0" w14:textId="10C30D95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37,63</w:t>
            </w:r>
          </w:p>
        </w:tc>
      </w:tr>
      <w:tr w:rsidR="00E608B9" w:rsidRPr="00D231C5" w14:paraId="22379ACD" w14:textId="77777777" w:rsidTr="00C85D7A">
        <w:tc>
          <w:tcPr>
            <w:tcW w:w="1560" w:type="dxa"/>
            <w:vAlign w:val="center"/>
          </w:tcPr>
          <w:p w14:paraId="6121D142" w14:textId="15722DDF" w:rsidR="00E608B9" w:rsidRPr="00D231C5" w:rsidRDefault="00E608B9" w:rsidP="00E608B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1559" w:type="dxa"/>
            <w:vAlign w:val="center"/>
          </w:tcPr>
          <w:p w14:paraId="6965C44A" w14:textId="5ECFF213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  <w:tc>
          <w:tcPr>
            <w:tcW w:w="1554" w:type="dxa"/>
            <w:vAlign w:val="center"/>
          </w:tcPr>
          <w:p w14:paraId="002839A2" w14:textId="25ECD1C4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50,01</w:t>
            </w:r>
          </w:p>
        </w:tc>
      </w:tr>
      <w:tr w:rsidR="00E608B9" w:rsidRPr="00D231C5" w14:paraId="087E262F" w14:textId="77777777" w:rsidTr="00C85D7A">
        <w:tc>
          <w:tcPr>
            <w:tcW w:w="1560" w:type="dxa"/>
            <w:vAlign w:val="center"/>
          </w:tcPr>
          <w:p w14:paraId="4A3A5EA0" w14:textId="58567F21" w:rsidR="00E608B9" w:rsidRPr="00D231C5" w:rsidRDefault="00E608B9" w:rsidP="00E608B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1559" w:type="dxa"/>
            <w:vAlign w:val="center"/>
          </w:tcPr>
          <w:p w14:paraId="3C4CF22C" w14:textId="6A86B641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  <w:tc>
          <w:tcPr>
            <w:tcW w:w="1554" w:type="dxa"/>
            <w:vAlign w:val="center"/>
          </w:tcPr>
          <w:p w14:paraId="6EF357DA" w14:textId="09380E5E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50,32</w:t>
            </w:r>
          </w:p>
        </w:tc>
      </w:tr>
      <w:tr w:rsidR="00E608B9" w:rsidRPr="00D231C5" w14:paraId="275EA157" w14:textId="77777777" w:rsidTr="00C85D7A">
        <w:tc>
          <w:tcPr>
            <w:tcW w:w="1560" w:type="dxa"/>
            <w:vAlign w:val="center"/>
          </w:tcPr>
          <w:p w14:paraId="67811784" w14:textId="0957FAE5" w:rsidR="00E608B9" w:rsidRDefault="00E608B9" w:rsidP="00E608B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1559" w:type="dxa"/>
            <w:vAlign w:val="center"/>
          </w:tcPr>
          <w:p w14:paraId="5E701C43" w14:textId="4D0ABA9F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</w:t>
            </w:r>
          </w:p>
        </w:tc>
        <w:tc>
          <w:tcPr>
            <w:tcW w:w="1554" w:type="dxa"/>
            <w:vAlign w:val="center"/>
          </w:tcPr>
          <w:p w14:paraId="0DF9131B" w14:textId="468BEE89" w:rsidR="00E608B9" w:rsidRPr="00D231C5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</w:tc>
      </w:tr>
      <w:tr w:rsidR="00E608B9" w:rsidRPr="00D231C5" w14:paraId="16567181" w14:textId="77777777" w:rsidTr="00C85D7A">
        <w:tc>
          <w:tcPr>
            <w:tcW w:w="1560" w:type="dxa"/>
            <w:vAlign w:val="center"/>
          </w:tcPr>
          <w:p w14:paraId="326156CD" w14:textId="0D4D1139" w:rsidR="00E608B9" w:rsidRDefault="00E608B9" w:rsidP="00E608B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FRE</w:t>
            </w:r>
          </w:p>
        </w:tc>
        <w:tc>
          <w:tcPr>
            <w:tcW w:w="1559" w:type="dxa"/>
            <w:vAlign w:val="center"/>
          </w:tcPr>
          <w:p w14:paraId="5B4BD1CF" w14:textId="2FA64BE4" w:rsidR="00E608B9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1554" w:type="dxa"/>
            <w:vAlign w:val="center"/>
          </w:tcPr>
          <w:p w14:paraId="06BCDC27" w14:textId="014AD511" w:rsidR="00E608B9" w:rsidRDefault="00E608B9" w:rsidP="00E608B9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30,99</w:t>
            </w:r>
          </w:p>
        </w:tc>
      </w:tr>
    </w:tbl>
    <w:p w14:paraId="035D492C" w14:textId="77777777" w:rsidR="00C50744" w:rsidRDefault="00C50744" w:rsidP="00C50744">
      <w:pPr>
        <w:pStyle w:val="NoSpacing"/>
      </w:pPr>
    </w:p>
    <w:p w14:paraId="14750AF0" w14:textId="693166F6" w:rsidR="0031395C" w:rsidRDefault="00800A0F" w:rsidP="00C50744">
      <w:pPr>
        <w:pStyle w:val="NoSpacing"/>
      </w:pPr>
      <w:r w:rsidRPr="00D91A2A">
        <w:t>Leedu uute kaabelühenduste mõju Läti ja Leedu börsihin</w:t>
      </w:r>
      <w:r w:rsidR="007D40F7">
        <w:softHyphen/>
      </w:r>
      <w:r w:rsidRPr="00D91A2A">
        <w:t xml:space="preserve">dadele peegeldab ilmekalt järgnev graafik. Kui kuu alguses alustanud </w:t>
      </w:r>
      <w:proofErr w:type="spellStart"/>
      <w:r w:rsidRPr="00D91A2A">
        <w:t>LitPol</w:t>
      </w:r>
      <w:proofErr w:type="spellEnd"/>
      <w:r w:rsidRPr="00D91A2A">
        <w:t xml:space="preserve"> link võimsusega </w:t>
      </w:r>
      <w:r w:rsidR="00D91A2A" w:rsidRPr="00D91A2A">
        <w:t xml:space="preserve">500 MW </w:t>
      </w:r>
      <w:r w:rsidRPr="00D91A2A">
        <w:t xml:space="preserve">ei toonud veel märgatavat </w:t>
      </w:r>
      <w:r w:rsidR="00D91A2A" w:rsidRPr="00D91A2A">
        <w:t>hindade langust</w:t>
      </w:r>
      <w:r w:rsidRPr="00D91A2A">
        <w:t xml:space="preserve">, siis 700 MW </w:t>
      </w:r>
      <w:r w:rsidR="00D91A2A" w:rsidRPr="00D91A2A">
        <w:t>ülekandevõimsu</w:t>
      </w:r>
      <w:r w:rsidR="007D40F7">
        <w:softHyphen/>
      </w:r>
      <w:r w:rsidR="00D91A2A" w:rsidRPr="00D91A2A">
        <w:t xml:space="preserve">sega </w:t>
      </w:r>
      <w:proofErr w:type="spellStart"/>
      <w:r w:rsidRPr="00D91A2A">
        <w:t>NordBalt</w:t>
      </w:r>
      <w:proofErr w:type="spellEnd"/>
      <w:r w:rsidRPr="00D91A2A">
        <w:t xml:space="preserve"> </w:t>
      </w:r>
      <w:r w:rsidR="00D91A2A" w:rsidRPr="00D91A2A">
        <w:t>kaabel võimaldas Rootsist odavamat elektrit otse Leetu tarnida</w:t>
      </w:r>
      <w:r w:rsidR="00D91A2A">
        <w:t>, mille tõttu kahanes märgatavalt Läti ja leedu vahelise ülekandevõimsuse kasutamine: kui pe</w:t>
      </w:r>
      <w:r w:rsidR="007D40F7">
        <w:softHyphen/>
      </w:r>
      <w:r w:rsidR="00D91A2A">
        <w:t>rioodil 1.-17.02.2016 oli keskmiselt kasutatud 46,5% kogu turule antud võimsusest, siis perioodil 18.-29.02.2016 ka</w:t>
      </w:r>
      <w:r w:rsidR="007D40F7">
        <w:softHyphen/>
      </w:r>
      <w:r w:rsidR="00D91A2A">
        <w:t xml:space="preserve">sutati keskmiselt 30,6% ülekandevõimsusest. Samal ajal oli </w:t>
      </w:r>
      <w:proofErr w:type="spellStart"/>
      <w:r w:rsidR="00D91A2A">
        <w:t>NordBalt</w:t>
      </w:r>
      <w:proofErr w:type="spellEnd"/>
      <w:r w:rsidR="00D91A2A">
        <w:t xml:space="preserve"> kaabel keskmiselt </w:t>
      </w:r>
      <w:r w:rsidR="007D40F7">
        <w:t>81,6% ulatuses kasutuses suunal Rootsist (SE4) Leetu (288 tunnist, mil turule võim</w:t>
      </w:r>
      <w:r w:rsidR="007D40F7">
        <w:softHyphen/>
        <w:t>sust anti, oli 175 tunnil võimsus maksimaalses ulatuses välja jaotatud).</w:t>
      </w:r>
    </w:p>
    <w:p w14:paraId="4E8E9B4C" w14:textId="77777777" w:rsidR="00800A0F" w:rsidRDefault="00800A0F" w:rsidP="00C50744">
      <w:pPr>
        <w:pStyle w:val="NoSpacing"/>
      </w:pPr>
    </w:p>
    <w:p w14:paraId="19BA3369" w14:textId="4EA833D6" w:rsidR="00E608B9" w:rsidRDefault="00434972" w:rsidP="00C50744">
      <w:pPr>
        <w:pStyle w:val="NoSpacing"/>
      </w:pPr>
      <w:r>
        <w:rPr>
          <w:noProof/>
        </w:rPr>
        <w:drawing>
          <wp:inline distT="0" distB="0" distL="0" distR="0" wp14:anchorId="5F95B1C3" wp14:editId="7608E78E">
            <wp:extent cx="297180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04DC" w14:textId="5069A53B" w:rsidR="00E608B9" w:rsidRPr="00434972" w:rsidRDefault="007D40F7" w:rsidP="00434972">
      <w:pPr>
        <w:rPr>
          <w:i/>
          <w:iCs/>
          <w:color w:val="808080" w:themeColor="text1" w:themeTint="7F"/>
          <w:sz w:val="16"/>
        </w:rPr>
      </w:pPr>
      <w:r>
        <w:rPr>
          <w:rStyle w:val="SubtleEmphasis"/>
        </w:rPr>
        <w:t xml:space="preserve">Baltikumi ning Soome </w:t>
      </w:r>
      <w:r w:rsidR="00434972">
        <w:rPr>
          <w:rStyle w:val="SubtleEmphasis"/>
        </w:rPr>
        <w:t>elektri börsihindade dünaamika 2016. a veebruaris (päeva keskmised)</w:t>
      </w:r>
    </w:p>
    <w:p w14:paraId="25D97F52" w14:textId="77777777" w:rsidR="00434972" w:rsidRDefault="00434972" w:rsidP="00C50744">
      <w:pPr>
        <w:pStyle w:val="NoSpacing"/>
      </w:pPr>
    </w:p>
    <w:p w14:paraId="2747DA0A" w14:textId="1A3A267B" w:rsidR="0031395C" w:rsidRDefault="0031395C" w:rsidP="00C50744">
      <w:pPr>
        <w:pStyle w:val="NoSpacing"/>
      </w:pPr>
      <w:r>
        <w:t xml:space="preserve">Esialgsete indikatsioonide järgi </w:t>
      </w:r>
      <w:r w:rsidR="00B14452">
        <w:t>kaetakse</w:t>
      </w:r>
      <w:r w:rsidR="00A76124">
        <w:t xml:space="preserve"> Leedu ja Läti elektridefitsiiti Rootsi kaudu tarnitava Põhjamaade elekt</w:t>
      </w:r>
      <w:r w:rsidR="00B14452">
        <w:softHyphen/>
      </w:r>
      <w:r w:rsidR="00A76124">
        <w:t>riga, mis tähendab, et mõningal määral väheneb Eesti kau</w:t>
      </w:r>
      <w:r w:rsidR="00B14452">
        <w:softHyphen/>
      </w:r>
      <w:r w:rsidR="00A76124">
        <w:t>du Soomest tarnitava elektri tähtsus. Veebruari turutule</w:t>
      </w:r>
      <w:r w:rsidR="00B14452">
        <w:softHyphen/>
      </w:r>
      <w:r w:rsidR="00A76124">
        <w:t>mused seda suundumust juba peegeldavad (</w:t>
      </w:r>
      <w:r w:rsidR="00B14452">
        <w:t xml:space="preserve">loe lisaks </w:t>
      </w:r>
      <w:hyperlink w:anchor="_Baltikumi_ja_Soome" w:history="1">
        <w:r w:rsidR="00A76124" w:rsidRPr="00A76124">
          <w:rPr>
            <w:rStyle w:val="Hyperlink"/>
          </w:rPr>
          <w:t>Baltikumi ja Soome hin</w:t>
        </w:r>
        <w:r w:rsidR="00B14452">
          <w:rPr>
            <w:rStyle w:val="Hyperlink"/>
          </w:rPr>
          <w:t>na</w:t>
        </w:r>
        <w:r w:rsidR="00A76124" w:rsidRPr="00A76124">
          <w:rPr>
            <w:rStyle w:val="Hyperlink"/>
          </w:rPr>
          <w:t>d</w:t>
        </w:r>
      </w:hyperlink>
      <w:r w:rsidR="00A76124">
        <w:t>).</w:t>
      </w:r>
    </w:p>
    <w:p w14:paraId="0A846FFA" w14:textId="77777777" w:rsidR="0031395C" w:rsidRDefault="0031395C" w:rsidP="00C50744">
      <w:pPr>
        <w:pStyle w:val="NoSpacing"/>
      </w:pPr>
    </w:p>
    <w:p w14:paraId="26A35EA0" w14:textId="6B689481" w:rsidR="00D231C5" w:rsidRDefault="00F1755A" w:rsidP="00C50744">
      <w:pPr>
        <w:pStyle w:val="NoSpacing"/>
      </w:pPr>
      <w:proofErr w:type="spellStart"/>
      <w:r w:rsidRPr="00F1755A">
        <w:t>European</w:t>
      </w:r>
      <w:proofErr w:type="spellEnd"/>
      <w:r w:rsidRPr="00F1755A">
        <w:t xml:space="preserve"> </w:t>
      </w:r>
      <w:proofErr w:type="spellStart"/>
      <w:r w:rsidRPr="00F1755A">
        <w:t>Power</w:t>
      </w:r>
      <w:proofErr w:type="spellEnd"/>
      <w:r w:rsidRPr="00F1755A">
        <w:t xml:space="preserve"> Exchange’i (EPEX SPOT) </w:t>
      </w:r>
      <w:r w:rsidR="00117280" w:rsidRPr="00117280">
        <w:t>veebruari</w:t>
      </w:r>
      <w:r w:rsidR="00117280">
        <w:t xml:space="preserve"> </w:t>
      </w:r>
      <w:r w:rsidRPr="00F1755A">
        <w:t>kesk</w:t>
      </w:r>
      <w:r w:rsidR="00AC5CC2">
        <w:softHyphen/>
      </w:r>
      <w:r w:rsidRPr="00F1755A">
        <w:t>mi</w:t>
      </w:r>
      <w:r w:rsidR="00620473">
        <w:softHyphen/>
      </w:r>
      <w:r w:rsidRPr="00F1755A">
        <w:t xml:space="preserve">sed hinnad </w:t>
      </w:r>
      <w:r w:rsidR="00117280">
        <w:t>sarnaselt Põhjamaade elektribörsi hindade</w:t>
      </w:r>
      <w:r w:rsidR="00AC5CC2">
        <w:softHyphen/>
      </w:r>
      <w:r w:rsidR="00117280">
        <w:t>ga langesid.</w:t>
      </w:r>
      <w:r w:rsidR="00117280" w:rsidRPr="00117280">
        <w:t xml:space="preserve"> </w:t>
      </w:r>
      <w:proofErr w:type="spellStart"/>
      <w:r w:rsidR="00117280" w:rsidRPr="00117280">
        <w:t>European</w:t>
      </w:r>
      <w:proofErr w:type="spellEnd"/>
      <w:r w:rsidR="00117280" w:rsidRPr="00117280">
        <w:t xml:space="preserve"> </w:t>
      </w:r>
      <w:proofErr w:type="spellStart"/>
      <w:r w:rsidR="00117280" w:rsidRPr="00117280">
        <w:t>Electricity</w:t>
      </w:r>
      <w:proofErr w:type="spellEnd"/>
      <w:r w:rsidR="00117280" w:rsidRPr="00117280">
        <w:t xml:space="preserve"> </w:t>
      </w:r>
      <w:proofErr w:type="spellStart"/>
      <w:r w:rsidR="00117280" w:rsidRPr="00117280">
        <w:t>Index</w:t>
      </w:r>
      <w:proofErr w:type="spellEnd"/>
      <w:r w:rsidR="00117280" w:rsidRPr="00117280">
        <w:t xml:space="preserve"> (ELIX) baaskoormu</w:t>
      </w:r>
      <w:r w:rsidR="00AC5CC2">
        <w:softHyphen/>
      </w:r>
      <w:r w:rsidR="00117280" w:rsidRPr="00117280">
        <w:t xml:space="preserve">se ja tipukoormuse </w:t>
      </w:r>
      <w:r w:rsidR="00117280">
        <w:t xml:space="preserve">kuine hinnalangus oli </w:t>
      </w:r>
      <w:r w:rsidRPr="00F1755A">
        <w:t xml:space="preserve"> vastavalt </w:t>
      </w:r>
      <w:r w:rsidR="00117280">
        <w:t>27</w:t>
      </w:r>
      <w:r w:rsidRPr="00F1755A">
        <w:t>% (</w:t>
      </w:r>
      <w:r w:rsidR="00117280">
        <w:t>21,86</w:t>
      </w:r>
      <w:r w:rsidRPr="00F1755A">
        <w:t xml:space="preserve"> €/MWh</w:t>
      </w:r>
      <w:r w:rsidR="00117280">
        <w:t>, mis on enam kui kahe aasta madalaim hind</w:t>
      </w:r>
      <w:r w:rsidRPr="00F1755A">
        <w:t xml:space="preserve">) ja </w:t>
      </w:r>
      <w:r w:rsidR="00117280">
        <w:t>28</w:t>
      </w:r>
      <w:r w:rsidRPr="00F1755A">
        <w:t>% (</w:t>
      </w:r>
      <w:r w:rsidR="00117280">
        <w:t>25,84</w:t>
      </w:r>
      <w:r w:rsidRPr="00F1755A">
        <w:t xml:space="preserve"> €/MWh). Saksamaa PHELIX piirkonna baas</w:t>
      </w:r>
      <w:r w:rsidR="00AC5CC2">
        <w:softHyphen/>
      </w:r>
      <w:r w:rsidRPr="00F1755A">
        <w:t xml:space="preserve">koormuse keskmiseks hinnaks kujunes </w:t>
      </w:r>
      <w:r w:rsidR="00117280">
        <w:t>veebr</w:t>
      </w:r>
      <w:r w:rsidR="007327AD">
        <w:t>u</w:t>
      </w:r>
      <w:r w:rsidR="00117280">
        <w:t>a</w:t>
      </w:r>
      <w:r w:rsidR="007327AD">
        <w:softHyphen/>
        <w:t>ris</w:t>
      </w:r>
      <w:r w:rsidR="00620473">
        <w:t xml:space="preserve"> </w:t>
      </w:r>
      <w:r w:rsidR="00117280">
        <w:t>21,99</w:t>
      </w:r>
      <w:r w:rsidRPr="00F1755A">
        <w:t xml:space="preserve"> €/MWh </w:t>
      </w:r>
      <w:r w:rsidR="00921AAF">
        <w:t>(</w:t>
      </w:r>
      <w:r w:rsidR="00117280">
        <w:t>-24</w:t>
      </w:r>
      <w:r w:rsidR="00921AAF">
        <w:t xml:space="preserve">%) </w:t>
      </w:r>
      <w:r w:rsidRPr="00F1755A">
        <w:t>ja tipukoor</w:t>
      </w:r>
      <w:r w:rsidR="00620473">
        <w:softHyphen/>
      </w:r>
      <w:r w:rsidRPr="00F1755A">
        <w:t xml:space="preserve">muse hinnaks </w:t>
      </w:r>
      <w:r w:rsidR="00117280">
        <w:t>26,01</w:t>
      </w:r>
      <w:r w:rsidRPr="00F1755A">
        <w:t xml:space="preserve"> €/MWh (</w:t>
      </w:r>
      <w:r w:rsidR="00117280">
        <w:t>-26</w:t>
      </w:r>
      <w:r w:rsidRPr="00F1755A">
        <w:t>%)</w:t>
      </w:r>
      <w:r w:rsidR="00117280">
        <w:t xml:space="preserve"> – </w:t>
      </w:r>
      <w:r w:rsidR="00AC5CC2">
        <w:t xml:space="preserve">tegemist on Saksamaa </w:t>
      </w:r>
      <w:r w:rsidR="00117280">
        <w:t>madalaima</w:t>
      </w:r>
      <w:r w:rsidR="00AC5CC2">
        <w:t>te</w:t>
      </w:r>
      <w:r w:rsidR="00117280">
        <w:t xml:space="preserve"> hin</w:t>
      </w:r>
      <w:r w:rsidR="00AC5CC2">
        <w:t>d</w:t>
      </w:r>
      <w:r w:rsidR="00117280">
        <w:t>ad</w:t>
      </w:r>
      <w:r w:rsidR="00AC5CC2">
        <w:t>ega</w:t>
      </w:r>
      <w:r w:rsidR="00117280">
        <w:t xml:space="preserve"> vii</w:t>
      </w:r>
      <w:r w:rsidR="00AC5CC2">
        <w:softHyphen/>
      </w:r>
      <w:r w:rsidR="00117280">
        <w:t>mase kahe aasta jooksul</w:t>
      </w:r>
      <w:r w:rsidR="00921AAF">
        <w:t>.</w:t>
      </w:r>
      <w:r w:rsidRPr="00F1755A">
        <w:t xml:space="preserve"> EPEX SPOT Prantsus</w:t>
      </w:r>
      <w:r w:rsidR="00620473">
        <w:softHyphen/>
      </w:r>
      <w:r w:rsidRPr="00F1755A">
        <w:t>maa piirkon</w:t>
      </w:r>
      <w:r w:rsidR="00AC5CC2">
        <w:softHyphen/>
      </w:r>
      <w:r w:rsidRPr="00F1755A">
        <w:t>na baaskoormuse keskmi</w:t>
      </w:r>
      <w:r w:rsidR="007327AD">
        <w:softHyphen/>
      </w:r>
      <w:r w:rsidRPr="00F1755A">
        <w:t xml:space="preserve">ne hind oli </w:t>
      </w:r>
      <w:r w:rsidR="00117280">
        <w:t>25,53</w:t>
      </w:r>
      <w:r w:rsidRPr="00F1755A">
        <w:t xml:space="preserve"> €/MWh (-</w:t>
      </w:r>
      <w:r w:rsidR="00117280">
        <w:t>2</w:t>
      </w:r>
      <w:r w:rsidR="009E1344">
        <w:t>4</w:t>
      </w:r>
      <w:r w:rsidRPr="00F1755A">
        <w:t>%) ja tipukoormuse keskmi</w:t>
      </w:r>
      <w:r w:rsidR="007327AD">
        <w:softHyphen/>
      </w:r>
      <w:r w:rsidRPr="00F1755A">
        <w:t xml:space="preserve">ne hind </w:t>
      </w:r>
      <w:r w:rsidR="00117280">
        <w:t>2</w:t>
      </w:r>
      <w:r w:rsidR="009E1344">
        <w:t>9,</w:t>
      </w:r>
      <w:r w:rsidR="00117280">
        <w:t>29</w:t>
      </w:r>
      <w:r w:rsidRPr="00F1755A">
        <w:t xml:space="preserve"> €/MWh (-</w:t>
      </w:r>
      <w:r w:rsidR="00117280">
        <w:t>2</w:t>
      </w:r>
      <w:r w:rsidR="009E1344">
        <w:t>5</w:t>
      </w:r>
      <w:r w:rsidRPr="00F1755A">
        <w:t>%).</w:t>
      </w:r>
    </w:p>
    <w:p w14:paraId="7DB789B8" w14:textId="77777777" w:rsidR="00620473" w:rsidRDefault="00620473" w:rsidP="00C50744">
      <w:pPr>
        <w:pStyle w:val="NoSpacing"/>
      </w:pPr>
    </w:p>
    <w:p w14:paraId="1AA63416" w14:textId="77777777" w:rsidR="00AC5CC2" w:rsidRDefault="00AC5CC2" w:rsidP="00C50744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1134"/>
        <w:gridCol w:w="1158"/>
      </w:tblGrid>
      <w:tr w:rsidR="00620473" w:rsidRPr="00D231C5" w14:paraId="02B6DAEE" w14:textId="77777777" w:rsidTr="00CE2007">
        <w:tc>
          <w:tcPr>
            <w:tcW w:w="2381" w:type="dxa"/>
            <w:vMerge w:val="restart"/>
            <w:shd w:val="clear" w:color="auto" w:fill="007087"/>
            <w:vAlign w:val="center"/>
          </w:tcPr>
          <w:p w14:paraId="3D114F17" w14:textId="5C7A87FF" w:rsidR="00620473" w:rsidRPr="00D231C5" w:rsidRDefault="00274AFC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2292" w:type="dxa"/>
            <w:gridSpan w:val="2"/>
            <w:shd w:val="clear" w:color="auto" w:fill="007087"/>
            <w:vAlign w:val="center"/>
          </w:tcPr>
          <w:p w14:paraId="5C13E7F7" w14:textId="77777777" w:rsidR="00620473" w:rsidRPr="00D231C5" w:rsidRDefault="00620473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7D40F7" w:rsidRPr="00D231C5" w14:paraId="48E16198" w14:textId="77777777" w:rsidTr="00CE2007">
        <w:tc>
          <w:tcPr>
            <w:tcW w:w="2381" w:type="dxa"/>
            <w:vMerge/>
            <w:shd w:val="clear" w:color="auto" w:fill="007087"/>
            <w:vAlign w:val="center"/>
          </w:tcPr>
          <w:p w14:paraId="3BF99B07" w14:textId="77777777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87"/>
            <w:vAlign w:val="center"/>
          </w:tcPr>
          <w:p w14:paraId="71BD28B8" w14:textId="3136ABF8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veebruar</w:t>
            </w:r>
          </w:p>
        </w:tc>
        <w:tc>
          <w:tcPr>
            <w:tcW w:w="1158" w:type="dxa"/>
            <w:shd w:val="clear" w:color="auto" w:fill="007087"/>
            <w:vAlign w:val="center"/>
          </w:tcPr>
          <w:p w14:paraId="00D00F23" w14:textId="60534C50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 jaanuar</w:t>
            </w:r>
          </w:p>
        </w:tc>
      </w:tr>
      <w:tr w:rsidR="007D40F7" w:rsidRPr="00D231C5" w14:paraId="509B8A43" w14:textId="77777777" w:rsidTr="00CE2007">
        <w:tc>
          <w:tcPr>
            <w:tcW w:w="2381" w:type="dxa"/>
            <w:vAlign w:val="center"/>
          </w:tcPr>
          <w:p w14:paraId="0969E0AF" w14:textId="6A65BAAD" w:rsidR="007D40F7" w:rsidRPr="005D3A6D" w:rsidRDefault="007D40F7" w:rsidP="007D40F7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134" w:type="dxa"/>
            <w:vAlign w:val="center"/>
          </w:tcPr>
          <w:p w14:paraId="3DDD5E0F" w14:textId="19701EE4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19,94</w:t>
            </w:r>
          </w:p>
        </w:tc>
        <w:tc>
          <w:tcPr>
            <w:tcW w:w="1158" w:type="dxa"/>
            <w:vAlign w:val="center"/>
          </w:tcPr>
          <w:p w14:paraId="706E4009" w14:textId="76A38B1A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29,85</w:t>
            </w:r>
          </w:p>
        </w:tc>
      </w:tr>
      <w:tr w:rsidR="007D40F7" w:rsidRPr="00D231C5" w14:paraId="0C374166" w14:textId="77777777" w:rsidTr="00904C55">
        <w:tc>
          <w:tcPr>
            <w:tcW w:w="2381" w:type="dxa"/>
            <w:vAlign w:val="center"/>
          </w:tcPr>
          <w:p w14:paraId="7A1402E1" w14:textId="768FAFD2" w:rsidR="007D40F7" w:rsidRPr="005D3A6D" w:rsidRDefault="007D40F7" w:rsidP="007D40F7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European Power Exchange (ELIX Base/Peak)</w:t>
            </w:r>
          </w:p>
        </w:tc>
        <w:tc>
          <w:tcPr>
            <w:tcW w:w="1134" w:type="dxa"/>
            <w:vAlign w:val="center"/>
          </w:tcPr>
          <w:p w14:paraId="6CBF6A12" w14:textId="536F97E4" w:rsidR="007D40F7" w:rsidRPr="00D231C5" w:rsidRDefault="00A76124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21,86/25,84</w:t>
            </w:r>
          </w:p>
        </w:tc>
        <w:tc>
          <w:tcPr>
            <w:tcW w:w="1158" w:type="dxa"/>
            <w:vAlign w:val="center"/>
          </w:tcPr>
          <w:p w14:paraId="065529F5" w14:textId="7B1C4FD0" w:rsidR="007D40F7" w:rsidRPr="00D231C5" w:rsidRDefault="007D40F7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30,02/35,87</w:t>
            </w:r>
          </w:p>
        </w:tc>
      </w:tr>
      <w:tr w:rsidR="007D40F7" w:rsidRPr="00D231C5" w14:paraId="487F2FFA" w14:textId="77777777" w:rsidTr="00753532"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196FBCAE" w14:textId="3334774D" w:rsidR="007D40F7" w:rsidRPr="005D3A6D" w:rsidRDefault="007D40F7" w:rsidP="007D40F7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European Power Exchange (PHELIX Base/Peak)</w:t>
            </w:r>
          </w:p>
        </w:tc>
        <w:tc>
          <w:tcPr>
            <w:tcW w:w="1134" w:type="dxa"/>
            <w:vAlign w:val="center"/>
          </w:tcPr>
          <w:p w14:paraId="6EA6269D" w14:textId="03673ABF" w:rsidR="007D40F7" w:rsidRDefault="00A76124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21,99/26,01</w:t>
            </w:r>
          </w:p>
        </w:tc>
        <w:tc>
          <w:tcPr>
            <w:tcW w:w="1158" w:type="dxa"/>
            <w:vAlign w:val="center"/>
          </w:tcPr>
          <w:p w14:paraId="77245935" w14:textId="082EEA02" w:rsidR="007D40F7" w:rsidRDefault="007D40F7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29,04/35,32</w:t>
            </w:r>
          </w:p>
        </w:tc>
      </w:tr>
      <w:tr w:rsidR="007D40F7" w:rsidRPr="00D231C5" w14:paraId="297079EE" w14:textId="77777777" w:rsidTr="00753532"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6F90C9C6" w14:textId="5B0270C2" w:rsidR="007D40F7" w:rsidRPr="006A4ABC" w:rsidRDefault="007D40F7" w:rsidP="007D40F7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European Power Exchange (</w:t>
            </w:r>
            <w:r>
              <w:rPr>
                <w:sz w:val="16"/>
                <w:szCs w:val="16"/>
                <w:lang w:val="en-GB"/>
              </w:rPr>
              <w:t>France</w:t>
            </w:r>
            <w:r w:rsidRPr="006A4ABC">
              <w:rPr>
                <w:sz w:val="16"/>
                <w:szCs w:val="16"/>
                <w:lang w:val="en-GB"/>
              </w:rPr>
              <w:t xml:space="preserve"> Base/Peak)</w:t>
            </w:r>
          </w:p>
        </w:tc>
        <w:tc>
          <w:tcPr>
            <w:tcW w:w="1134" w:type="dxa"/>
            <w:vAlign w:val="center"/>
          </w:tcPr>
          <w:p w14:paraId="20999B8E" w14:textId="42D3C89D" w:rsidR="007D40F7" w:rsidRDefault="00A76124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25,53/29,29</w:t>
            </w:r>
          </w:p>
        </w:tc>
        <w:tc>
          <w:tcPr>
            <w:tcW w:w="1158" w:type="dxa"/>
            <w:vAlign w:val="center"/>
          </w:tcPr>
          <w:p w14:paraId="3FF15C58" w14:textId="5EC818B0" w:rsidR="007D40F7" w:rsidRDefault="007D40F7" w:rsidP="007D40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33,60/39,01</w:t>
            </w:r>
          </w:p>
        </w:tc>
      </w:tr>
    </w:tbl>
    <w:p w14:paraId="18CE4A9E" w14:textId="77777777" w:rsidR="00620473" w:rsidRDefault="00620473" w:rsidP="00C50744">
      <w:pPr>
        <w:pStyle w:val="NoSpacing"/>
      </w:pPr>
    </w:p>
    <w:p w14:paraId="63C02A3C" w14:textId="4D082F95" w:rsidR="00274AFC" w:rsidRDefault="00274AFC" w:rsidP="00C50744">
      <w:pPr>
        <w:pStyle w:val="NoSpacing"/>
      </w:pPr>
      <w:r w:rsidRPr="00274AFC">
        <w:t>Elektri tootmishinna</w:t>
      </w:r>
      <w:r>
        <w:t xml:space="preserve">le otsest mõju </w:t>
      </w:r>
      <w:r w:rsidR="00B24CB9">
        <w:t>avaldav</w:t>
      </w:r>
      <w:r>
        <w:t xml:space="preserve"> süsinikdi</w:t>
      </w:r>
      <w:r w:rsidR="00B24CB9">
        <w:softHyphen/>
      </w:r>
      <w:r w:rsidRPr="00274AFC">
        <w:t>o</w:t>
      </w:r>
      <w:r>
        <w:t xml:space="preserve">ksiidi emissioonikvootide hinnatase </w:t>
      </w:r>
      <w:r w:rsidR="0058611B">
        <w:t>jätkas langust</w:t>
      </w:r>
      <w:r>
        <w:t xml:space="preserve"> -</w:t>
      </w:r>
      <w:r w:rsidRPr="00274AFC">
        <w:t xml:space="preserve"> madalaim sulgemishind oli </w:t>
      </w:r>
      <w:r w:rsidR="0058611B">
        <w:t>4,67</w:t>
      </w:r>
      <w:r w:rsidR="00F24D30">
        <w:t xml:space="preserve"> €/t</w:t>
      </w:r>
      <w:r w:rsidRPr="00274AFC">
        <w:t xml:space="preserve">, kõrgeim </w:t>
      </w:r>
      <w:r w:rsidR="0058611B">
        <w:t>5,81</w:t>
      </w:r>
      <w:r w:rsidR="00F24D30">
        <w:t xml:space="preserve"> €/t</w:t>
      </w:r>
      <w:r w:rsidRPr="00274AFC">
        <w:t xml:space="preserve"> ning kuu keskmine </w:t>
      </w:r>
      <w:r w:rsidR="0058611B">
        <w:t>5,15</w:t>
      </w:r>
      <w:r w:rsidRPr="00274AFC">
        <w:t xml:space="preserve"> eurot ühe tonni CO</w:t>
      </w:r>
      <w:r w:rsidRPr="00B24CB9">
        <w:rPr>
          <w:vertAlign w:val="subscript"/>
        </w:rPr>
        <w:t>2</w:t>
      </w:r>
      <w:r w:rsidRPr="00274AFC">
        <w:t xml:space="preserve"> kohta. Aasta tagasi liikusid CO</w:t>
      </w:r>
      <w:r w:rsidRPr="00B24CB9">
        <w:rPr>
          <w:vertAlign w:val="subscript"/>
        </w:rPr>
        <w:t>2</w:t>
      </w:r>
      <w:r w:rsidRPr="00274AFC">
        <w:t xml:space="preserve"> hinnad </w:t>
      </w:r>
      <w:r w:rsidR="0058611B">
        <w:t xml:space="preserve">ca 1,5 € võrra kõrgemal </w:t>
      </w:r>
      <w:r w:rsidRPr="00274AFC">
        <w:t>tasemel t</w:t>
      </w:r>
      <w:r w:rsidR="0058611B">
        <w:t>onni kohta</w:t>
      </w:r>
      <w:r w:rsidRPr="00274AFC">
        <w:t>.</w:t>
      </w:r>
    </w:p>
    <w:p w14:paraId="1F7F689A" w14:textId="77777777" w:rsidR="008D6ED6" w:rsidRDefault="008D6ED6" w:rsidP="00C50744">
      <w:pPr>
        <w:pStyle w:val="NoSpacing"/>
      </w:pPr>
    </w:p>
    <w:p w14:paraId="2CCCCDEA" w14:textId="101081DB" w:rsidR="00C50744" w:rsidRDefault="00E44114" w:rsidP="0022344D">
      <w:pPr>
        <w:pStyle w:val="Heading2"/>
      </w:pPr>
      <w:bookmarkStart w:id="1" w:name="_Baltikumi_ja_Soome"/>
      <w:bookmarkEnd w:id="1"/>
      <w:r>
        <w:t>Baltikumi ja Soome hinnad</w:t>
      </w:r>
    </w:p>
    <w:p w14:paraId="53C95704" w14:textId="1387E9C9" w:rsidR="009215A9" w:rsidRDefault="009215A9" w:rsidP="009215A9">
      <w:r w:rsidRPr="00652279">
        <w:t xml:space="preserve">Eesti elektribilanss oli </w:t>
      </w:r>
      <w:r w:rsidR="00BF595D">
        <w:t>veebr</w:t>
      </w:r>
      <w:r w:rsidR="00AE27EB">
        <w:t>uaris</w:t>
      </w:r>
      <w:r w:rsidRPr="00652279">
        <w:t xml:space="preserve"> </w:t>
      </w:r>
      <w:r w:rsidR="00BF595D">
        <w:t>4</w:t>
      </w:r>
      <w:r w:rsidRPr="00652279">
        <w:t xml:space="preserve"> </w:t>
      </w:r>
      <w:proofErr w:type="spellStart"/>
      <w:r w:rsidRPr="00652279">
        <w:t>GWh-ga</w:t>
      </w:r>
      <w:proofErr w:type="spellEnd"/>
      <w:r w:rsidRPr="00652279">
        <w:t xml:space="preserve"> </w:t>
      </w:r>
      <w:r w:rsidR="00BF595D">
        <w:t>puudu</w:t>
      </w:r>
      <w:r w:rsidRPr="00652279">
        <w:t xml:space="preserve">jäägis: </w:t>
      </w:r>
      <w:r w:rsidRPr="00F34542">
        <w:t xml:space="preserve">elektri toodang </w:t>
      </w:r>
      <w:r w:rsidR="00BF595D">
        <w:t>ja</w:t>
      </w:r>
      <w:r w:rsidRPr="00F34542">
        <w:t xml:space="preserve"> tarbimi</w:t>
      </w:r>
      <w:r w:rsidR="00AE27EB">
        <w:t>n</w:t>
      </w:r>
      <w:r w:rsidRPr="00F34542">
        <w:t xml:space="preserve">e </w:t>
      </w:r>
      <w:r w:rsidR="00F34542" w:rsidRPr="00F34542">
        <w:t>ka</w:t>
      </w:r>
      <w:r w:rsidR="00BF595D">
        <w:t>h</w:t>
      </w:r>
      <w:r w:rsidR="00AE27EB">
        <w:t>a</w:t>
      </w:r>
      <w:r w:rsidR="00BF595D">
        <w:t>ne</w:t>
      </w:r>
      <w:r w:rsidR="00AE27EB">
        <w:t>sid</w:t>
      </w:r>
      <w:r w:rsidR="00F34542" w:rsidRPr="00F34542">
        <w:t xml:space="preserve"> </w:t>
      </w:r>
      <w:r w:rsidR="00BF595D">
        <w:t>jaanua</w:t>
      </w:r>
      <w:r w:rsidR="00652279" w:rsidRPr="00F34542">
        <w:t>riga</w:t>
      </w:r>
      <w:r w:rsidRPr="00F34542">
        <w:t xml:space="preserve"> võrrel</w:t>
      </w:r>
      <w:r w:rsidR="00B14452">
        <w:softHyphen/>
      </w:r>
      <w:r w:rsidRPr="00F34542">
        <w:t xml:space="preserve">des </w:t>
      </w:r>
      <w:r w:rsidR="00AE27EB">
        <w:t xml:space="preserve">oluliselt - </w:t>
      </w:r>
      <w:r w:rsidR="00F34542" w:rsidRPr="00F34542">
        <w:t xml:space="preserve">vastavalt </w:t>
      </w:r>
      <w:r w:rsidR="00481F67">
        <w:t>3</w:t>
      </w:r>
      <w:r w:rsidR="00BF595D">
        <w:t>2</w:t>
      </w:r>
      <w:r w:rsidR="00481F67">
        <w:t xml:space="preserve">% ja </w:t>
      </w:r>
      <w:r w:rsidR="00BF595D">
        <w:t>18</w:t>
      </w:r>
      <w:r w:rsidR="00481F67">
        <w:t>%.</w:t>
      </w:r>
      <w:r w:rsidRPr="00F34542">
        <w:t xml:space="preserve"> Läti elektritoodang</w:t>
      </w:r>
      <w:r w:rsidRPr="00652279">
        <w:t xml:space="preserve"> </w:t>
      </w:r>
      <w:r w:rsidR="00BF595D">
        <w:t>vähenes</w:t>
      </w:r>
      <w:r w:rsidRPr="00481F67">
        <w:t xml:space="preserve"> eelmise kuuga võrreldes </w:t>
      </w:r>
      <w:r w:rsidR="00BF595D">
        <w:t>ligi</w:t>
      </w:r>
      <w:r w:rsidRPr="00481F67">
        <w:t xml:space="preserve"> </w:t>
      </w:r>
      <w:r w:rsidR="00BF595D">
        <w:t>31</w:t>
      </w:r>
      <w:r w:rsidRPr="00481F67">
        <w:t xml:space="preserve">%, tarbimine </w:t>
      </w:r>
      <w:r w:rsidR="00BF595D">
        <w:t>pea 15</w:t>
      </w:r>
      <w:r w:rsidR="00F34542" w:rsidRPr="00481F67">
        <w:t>%</w:t>
      </w:r>
      <w:r w:rsidR="00BF595D">
        <w:t>.</w:t>
      </w:r>
      <w:r w:rsidRPr="00481F67">
        <w:t xml:space="preserve"> </w:t>
      </w:r>
      <w:r w:rsidR="00A418B2" w:rsidRPr="00481F67">
        <w:t>Läti elektribilansi puudujää</w:t>
      </w:r>
      <w:r w:rsidR="00481F67">
        <w:t>gi</w:t>
      </w:r>
      <w:r w:rsidR="00A418B2" w:rsidRPr="00481F67">
        <w:t xml:space="preserve"> </w:t>
      </w:r>
      <w:r w:rsidR="00BF595D">
        <w:t xml:space="preserve">enam kui kahekordistus </w:t>
      </w:r>
      <w:r w:rsidR="00481F67">
        <w:t>82</w:t>
      </w:r>
      <w:r w:rsidR="00A418B2" w:rsidRPr="00481F67">
        <w:t xml:space="preserve"> </w:t>
      </w:r>
      <w:proofErr w:type="spellStart"/>
      <w:r w:rsidR="00A418B2" w:rsidRPr="00481F67">
        <w:t>GWh</w:t>
      </w:r>
      <w:r w:rsidR="00481F67">
        <w:t>-</w:t>
      </w:r>
      <w:r w:rsidR="00BF595D">
        <w:t>lt</w:t>
      </w:r>
      <w:proofErr w:type="spellEnd"/>
      <w:r w:rsidR="00BF595D">
        <w:t xml:space="preserve"> 180 </w:t>
      </w:r>
      <w:proofErr w:type="spellStart"/>
      <w:r w:rsidR="00BF595D">
        <w:t>GWh-ni</w:t>
      </w:r>
      <w:proofErr w:type="spellEnd"/>
      <w:r w:rsidR="00481F67">
        <w:t xml:space="preserve">. </w:t>
      </w:r>
      <w:r w:rsidRPr="00481F67">
        <w:t>Läti tootjate panus sisemaise tarbi</w:t>
      </w:r>
      <w:r w:rsidR="00B14452">
        <w:softHyphen/>
      </w:r>
      <w:r w:rsidRPr="00481F67">
        <w:t xml:space="preserve">mise katmisel oli </w:t>
      </w:r>
      <w:r w:rsidR="00BF595D">
        <w:t>71</w:t>
      </w:r>
      <w:r w:rsidRPr="00481F67">
        <w:t xml:space="preserve">%. Leedus </w:t>
      </w:r>
      <w:r w:rsidR="00481F67">
        <w:t xml:space="preserve">vähenes </w:t>
      </w:r>
      <w:r w:rsidRPr="00481F67">
        <w:t xml:space="preserve">tootmine </w:t>
      </w:r>
      <w:r w:rsidR="00BF595D">
        <w:t>jaanuari</w:t>
      </w:r>
      <w:r w:rsidR="00B14452">
        <w:softHyphen/>
      </w:r>
      <w:r w:rsidR="00BF595D">
        <w:t>kuuga</w:t>
      </w:r>
      <w:r w:rsidR="00481F67">
        <w:t xml:space="preserve"> </w:t>
      </w:r>
      <w:r w:rsidRPr="00481F67">
        <w:t xml:space="preserve">võrreldes </w:t>
      </w:r>
      <w:r w:rsidR="00BF595D">
        <w:t>pea 12%,</w:t>
      </w:r>
      <w:r w:rsidRPr="00481F67">
        <w:t xml:space="preserve"> tarbimise </w:t>
      </w:r>
      <w:r w:rsidR="00BF595D">
        <w:t>langes veelgi enam - 23</w:t>
      </w:r>
      <w:r w:rsidRPr="00481F67">
        <w:t xml:space="preserve">%, </w:t>
      </w:r>
      <w:r w:rsidR="00BF595D">
        <w:t xml:space="preserve">mis </w:t>
      </w:r>
      <w:r w:rsidRPr="00481F67">
        <w:t>tähendab defitsii</w:t>
      </w:r>
      <w:r w:rsidR="00DD240E" w:rsidRPr="00481F67">
        <w:t>d</w:t>
      </w:r>
      <w:r w:rsidRPr="00481F67">
        <w:t xml:space="preserve">i </w:t>
      </w:r>
      <w:r w:rsidR="00BF595D">
        <w:t>vähenemist 529</w:t>
      </w:r>
      <w:r w:rsidRPr="00481F67">
        <w:t xml:space="preserve"> </w:t>
      </w:r>
      <w:proofErr w:type="spellStart"/>
      <w:r w:rsidRPr="00481F67">
        <w:t>GWh</w:t>
      </w:r>
      <w:r w:rsidR="00481F67">
        <w:t>-ni</w:t>
      </w:r>
      <w:proofErr w:type="spellEnd"/>
      <w:r w:rsidR="00481F67">
        <w:t xml:space="preserve">. </w:t>
      </w:r>
      <w:r w:rsidR="00BF595D">
        <w:t>30</w:t>
      </w:r>
      <w:r w:rsidR="00DD240E" w:rsidRPr="00481F67">
        <w:t>% tarbitud elektrist toodeti Leedus</w:t>
      </w:r>
      <w:r w:rsidR="00BF595D">
        <w:t xml:space="preserve"> ning uute ühenduste lisandumise tulemusena </w:t>
      </w:r>
      <w:r w:rsidR="00BF595D" w:rsidRPr="00BF595D">
        <w:t>vähenes kolmandate riikide osa</w:t>
      </w:r>
      <w:r w:rsidR="00B14452">
        <w:softHyphen/>
      </w:r>
      <w:r w:rsidR="00BF595D" w:rsidRPr="00BF595D">
        <w:t>kaal Leedu puudujäägi katmisel</w:t>
      </w:r>
      <w:r w:rsidRPr="00481F67">
        <w:t xml:space="preserve">. Baltikum tervikuna oli </w:t>
      </w:r>
      <w:r w:rsidR="00BF595D">
        <w:t>veebr</w:t>
      </w:r>
      <w:r w:rsidR="00481F67">
        <w:t>ua</w:t>
      </w:r>
      <w:r w:rsidR="00DD240E" w:rsidRPr="00481F67">
        <w:t xml:space="preserve">ris </w:t>
      </w:r>
      <w:r w:rsidR="00BF595D">
        <w:t>712</w:t>
      </w:r>
      <w:r w:rsidRPr="00481F67">
        <w:t xml:space="preserve"> </w:t>
      </w:r>
      <w:proofErr w:type="spellStart"/>
      <w:r w:rsidRPr="00481F67">
        <w:t>GWh-ga</w:t>
      </w:r>
      <w:proofErr w:type="spellEnd"/>
      <w:r w:rsidRPr="00481F67">
        <w:t xml:space="preserve"> defitsiidis (</w:t>
      </w:r>
      <w:r w:rsidR="00BF595D">
        <w:t>3</w:t>
      </w:r>
      <w:r w:rsidR="00481F67">
        <w:t>4</w:t>
      </w:r>
      <w:r w:rsidRPr="00481F67">
        <w:t>% kogutarbimisest).</w:t>
      </w:r>
    </w:p>
    <w:p w14:paraId="46AD75C9" w14:textId="77777777" w:rsidR="009215A9" w:rsidRDefault="009215A9" w:rsidP="009215A9"/>
    <w:p w14:paraId="0A20029D" w14:textId="58AA790A" w:rsidR="00B82C56" w:rsidRDefault="0055378A" w:rsidP="00BA7A51">
      <w:pPr>
        <w:spacing w:after="40"/>
      </w:pPr>
      <w:r>
        <w:rPr>
          <w:noProof/>
        </w:rPr>
        <w:drawing>
          <wp:inline distT="0" distB="0" distL="0" distR="0" wp14:anchorId="2C8B5DA3" wp14:editId="4C1EE7AB">
            <wp:extent cx="29718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9E29" w14:textId="40B78FD8" w:rsidR="00F513EF" w:rsidRPr="0022344D" w:rsidRDefault="00F513EF" w:rsidP="00F513EF">
      <w:pPr>
        <w:rPr>
          <w:rStyle w:val="SubtleEmphasis"/>
        </w:rPr>
      </w:pPr>
      <w:r>
        <w:rPr>
          <w:rStyle w:val="SubtleEmphasis"/>
        </w:rPr>
        <w:t xml:space="preserve">Kuu keskmised hinnad </w:t>
      </w:r>
      <w:r w:rsidR="00DB12F2">
        <w:rPr>
          <w:rStyle w:val="SubtleEmphasis"/>
        </w:rPr>
        <w:t xml:space="preserve">jooksval </w:t>
      </w:r>
      <w:r>
        <w:rPr>
          <w:rStyle w:val="SubtleEmphasis"/>
        </w:rPr>
        <w:t>aastal</w:t>
      </w:r>
    </w:p>
    <w:p w14:paraId="081F823F" w14:textId="77777777" w:rsidR="00354CE0" w:rsidRDefault="00354CE0" w:rsidP="0022344D"/>
    <w:p w14:paraId="0910FFE7" w14:textId="0B6665A8" w:rsidR="00B82C56" w:rsidRDefault="00F513EF" w:rsidP="0022344D">
      <w:r>
        <w:t xml:space="preserve">Eesti hinnapiirkonna </w:t>
      </w:r>
      <w:r w:rsidR="00B14452">
        <w:t xml:space="preserve">veebruari </w:t>
      </w:r>
      <w:r w:rsidR="00DB12F2">
        <w:t xml:space="preserve">keskmine </w:t>
      </w:r>
      <w:r>
        <w:t xml:space="preserve">hind </w:t>
      </w:r>
      <w:r w:rsidR="00DB12F2">
        <w:t xml:space="preserve">oli </w:t>
      </w:r>
      <w:r w:rsidR="00B14452">
        <w:t>28,28</w:t>
      </w:r>
      <w:r>
        <w:t xml:space="preserve"> </w:t>
      </w:r>
      <w:r w:rsidR="0060228C">
        <w:t>€</w:t>
      </w:r>
      <w:r>
        <w:t>/MWh</w:t>
      </w:r>
      <w:r w:rsidR="0060228C">
        <w:t xml:space="preserve">, </w:t>
      </w:r>
      <w:r w:rsidR="00DB12F2">
        <w:t>see</w:t>
      </w:r>
      <w:r w:rsidR="0060228C">
        <w:t xml:space="preserve"> on </w:t>
      </w:r>
      <w:r w:rsidR="00B14452">
        <w:t>võrdluses jaanuariga 24,9% madalam</w:t>
      </w:r>
      <w:r w:rsidR="0060228C">
        <w:t xml:space="preserve">. </w:t>
      </w:r>
      <w:r w:rsidR="00DB12F2">
        <w:t>S</w:t>
      </w:r>
      <w:r w:rsidR="0060228C">
        <w:t>üs</w:t>
      </w:r>
      <w:r w:rsidR="003769F1">
        <w:softHyphen/>
      </w:r>
      <w:r w:rsidR="0060228C">
        <w:t>teemihinna</w:t>
      </w:r>
      <w:r w:rsidR="00354CE0">
        <w:softHyphen/>
      </w:r>
      <w:r w:rsidR="0060228C">
        <w:t xml:space="preserve">ga </w:t>
      </w:r>
      <w:r w:rsidR="00DB12F2">
        <w:t xml:space="preserve">võrreldes on Eesti hind </w:t>
      </w:r>
      <w:r w:rsidR="00B14452">
        <w:t>42</w:t>
      </w:r>
      <w:r w:rsidR="00DB12F2">
        <w:t>% võrra kõrgem</w:t>
      </w:r>
      <w:r w:rsidR="0055378A">
        <w:t>.</w:t>
      </w:r>
      <w:r w:rsidR="00DB12F2">
        <w:t xml:space="preserve"> </w:t>
      </w:r>
      <w:r w:rsidR="0060228C">
        <w:t>Soome keskmise</w:t>
      </w:r>
      <w:r w:rsidR="00DB12F2">
        <w:t>st</w:t>
      </w:r>
      <w:r w:rsidR="0060228C">
        <w:t xml:space="preserve"> hinna</w:t>
      </w:r>
      <w:r w:rsidR="00DB12F2">
        <w:t>st</w:t>
      </w:r>
      <w:r w:rsidR="0060228C">
        <w:t xml:space="preserve"> oli </w:t>
      </w:r>
      <w:r w:rsidR="00DB12F2">
        <w:t>Eesti hind</w:t>
      </w:r>
      <w:r w:rsidR="009215A9">
        <w:t xml:space="preserve"> </w:t>
      </w:r>
      <w:r w:rsidR="000E31EA">
        <w:t xml:space="preserve">megavatt-tunni kohta </w:t>
      </w:r>
      <w:r w:rsidR="0055378A">
        <w:t>2,19</w:t>
      </w:r>
      <w:r w:rsidR="00DB12F2">
        <w:t xml:space="preserve"> euro võrra madalam</w:t>
      </w:r>
      <w:r w:rsidR="0055378A">
        <w:t>, hinnavahe Läti ja Leeduga oli 1,37 €/MWh Eesti kasuks</w:t>
      </w:r>
      <w:r w:rsidR="009215A9">
        <w:t>.</w:t>
      </w:r>
    </w:p>
    <w:p w14:paraId="164CA85D" w14:textId="77777777" w:rsidR="00F513EF" w:rsidRDefault="00F513EF" w:rsidP="0022344D"/>
    <w:p w14:paraId="370C068F" w14:textId="1CB5CFEB" w:rsidR="00B82C56" w:rsidRDefault="0055378A" w:rsidP="00BA7A51">
      <w:pPr>
        <w:spacing w:after="40"/>
      </w:pPr>
      <w:r>
        <w:rPr>
          <w:noProof/>
        </w:rPr>
        <w:drawing>
          <wp:inline distT="0" distB="0" distL="0" distR="0" wp14:anchorId="10D44351" wp14:editId="4C0CA8D5">
            <wp:extent cx="29718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5F93" w14:textId="4FC3E9E8" w:rsidR="009215A9" w:rsidRPr="0022344D" w:rsidRDefault="00176304" w:rsidP="009215A9">
      <w:pPr>
        <w:rPr>
          <w:rStyle w:val="SubtleEmphasis"/>
        </w:rPr>
      </w:pPr>
      <w:r>
        <w:rPr>
          <w:rStyle w:val="SubtleEmphasis"/>
        </w:rPr>
        <w:t xml:space="preserve">Päeva </w:t>
      </w:r>
      <w:r w:rsidR="009215A9">
        <w:rPr>
          <w:rStyle w:val="SubtleEmphasis"/>
        </w:rPr>
        <w:t>keskmised hinnad 201</w:t>
      </w:r>
      <w:r w:rsidR="008D1453">
        <w:rPr>
          <w:rStyle w:val="SubtleEmphasis"/>
        </w:rPr>
        <w:t>6</w:t>
      </w:r>
      <w:r w:rsidR="009215A9">
        <w:rPr>
          <w:rStyle w:val="SubtleEmphasis"/>
        </w:rPr>
        <w:t>. aasta</w:t>
      </w:r>
      <w:r>
        <w:rPr>
          <w:rStyle w:val="SubtleEmphasis"/>
        </w:rPr>
        <w:t xml:space="preserve"> </w:t>
      </w:r>
      <w:r w:rsidR="0055378A">
        <w:rPr>
          <w:rStyle w:val="SubtleEmphasis"/>
        </w:rPr>
        <w:t>veebr</w:t>
      </w:r>
      <w:r w:rsidR="008D1453">
        <w:rPr>
          <w:rStyle w:val="SubtleEmphasis"/>
        </w:rPr>
        <w:t>uaris</w:t>
      </w:r>
    </w:p>
    <w:p w14:paraId="7165D8AC" w14:textId="77777777" w:rsidR="00176304" w:rsidRDefault="00176304" w:rsidP="00176304"/>
    <w:p w14:paraId="045FB7E7" w14:textId="23586D19" w:rsidR="00913AEF" w:rsidRDefault="00176304" w:rsidP="00176304">
      <w:r w:rsidRPr="009215A9">
        <w:t>N</w:t>
      </w:r>
      <w:r w:rsidR="00C27375">
        <w:t xml:space="preserve">ord </w:t>
      </w:r>
      <w:r w:rsidRPr="009215A9">
        <w:t>P</w:t>
      </w:r>
      <w:r w:rsidR="00C27375">
        <w:t xml:space="preserve">ool </w:t>
      </w:r>
      <w:r w:rsidR="003B53BE">
        <w:t>elektri</w:t>
      </w:r>
      <w:r w:rsidR="00C27375">
        <w:t>börsi</w:t>
      </w:r>
      <w:r w:rsidRPr="009215A9">
        <w:t xml:space="preserve"> Eesti ja Läti piirkondade </w:t>
      </w:r>
      <w:r w:rsidR="003B53BE" w:rsidRPr="009215A9">
        <w:t xml:space="preserve">päev-ette turu </w:t>
      </w:r>
      <w:r w:rsidRPr="009215A9">
        <w:t xml:space="preserve">hinnad erinesid </w:t>
      </w:r>
      <w:r w:rsidR="00913AEF">
        <w:t>veebr</w:t>
      </w:r>
      <w:r w:rsidR="003B53BE">
        <w:t>uaris</w:t>
      </w:r>
      <w:r w:rsidRPr="009215A9">
        <w:t xml:space="preserve"> </w:t>
      </w:r>
      <w:r w:rsidR="00913AEF">
        <w:t>vaid 167</w:t>
      </w:r>
      <w:r w:rsidRPr="009215A9">
        <w:t xml:space="preserve"> tunnil ehk </w:t>
      </w:r>
      <w:r w:rsidR="00913AEF">
        <w:t>22,4</w:t>
      </w:r>
      <w:r w:rsidRPr="009215A9">
        <w:t>% tundidest (</w:t>
      </w:r>
      <w:r w:rsidR="00913AEF">
        <w:t>jaanua</w:t>
      </w:r>
      <w:r w:rsidR="003B53BE">
        <w:t>ris</w:t>
      </w:r>
      <w:r w:rsidRPr="009215A9">
        <w:t xml:space="preserve"> </w:t>
      </w:r>
      <w:r w:rsidR="003B53BE">
        <w:t>5</w:t>
      </w:r>
      <w:r w:rsidR="00913AEF">
        <w:t>61</w:t>
      </w:r>
      <w:r w:rsidRPr="009215A9">
        <w:t xml:space="preserve"> tunnil ehk </w:t>
      </w:r>
      <w:r w:rsidR="003B53BE">
        <w:t>7</w:t>
      </w:r>
      <w:r w:rsidR="00913AEF">
        <w:t>5</w:t>
      </w:r>
      <w:r w:rsidR="003B53BE">
        <w:t>,</w:t>
      </w:r>
      <w:r w:rsidR="00913AEF">
        <w:t xml:space="preserve">4%), kusjuures kuu esimesel poolel (1.-17.02), mil </w:t>
      </w:r>
      <w:proofErr w:type="spellStart"/>
      <w:r w:rsidR="00913AEF">
        <w:t>NordBalt</w:t>
      </w:r>
      <w:proofErr w:type="spellEnd"/>
      <w:r w:rsidR="00913AEF">
        <w:t xml:space="preserve"> kaabel veel turu käsutuses polnud, esines hinnavahe 39% tundidest ning kuu teisel poolel (18.-29.02.) vaid 3% tundidest.</w:t>
      </w:r>
    </w:p>
    <w:p w14:paraId="125E1DEB" w14:textId="77777777" w:rsidR="00EE2E7C" w:rsidRDefault="00EE2E7C" w:rsidP="00176304"/>
    <w:p w14:paraId="31B7C0A2" w14:textId="620FE169" w:rsidR="00176304" w:rsidRDefault="00176304" w:rsidP="00176304">
      <w:r w:rsidRPr="009215A9">
        <w:t xml:space="preserve">Eesti ja Soome hinnad </w:t>
      </w:r>
      <w:r>
        <w:t>erinesid</w:t>
      </w:r>
      <w:r w:rsidR="00913AEF">
        <w:t xml:space="preserve"> veebruaris</w:t>
      </w:r>
      <w:r>
        <w:t xml:space="preserve"> päev-ette turul </w:t>
      </w:r>
      <w:r w:rsidR="00913AEF">
        <w:t>210</w:t>
      </w:r>
      <w:r w:rsidR="00AC7ECF">
        <w:t xml:space="preserve"> </w:t>
      </w:r>
      <w:r>
        <w:t>tun</w:t>
      </w:r>
      <w:r w:rsidRPr="009215A9">
        <w:t xml:space="preserve">nil ehk </w:t>
      </w:r>
      <w:r w:rsidR="00913AEF">
        <w:t>28,2</w:t>
      </w:r>
      <w:r w:rsidRPr="009215A9">
        <w:t>% ajast (</w:t>
      </w:r>
      <w:r w:rsidR="00913AEF">
        <w:t>jaanuaris</w:t>
      </w:r>
      <w:r w:rsidRPr="009215A9">
        <w:t xml:space="preserve"> </w:t>
      </w:r>
      <w:r w:rsidR="00913AEF">
        <w:t>22</w:t>
      </w:r>
      <w:r w:rsidRPr="009215A9">
        <w:t xml:space="preserve"> tunnil ehk </w:t>
      </w:r>
      <w:r w:rsidR="00913AEF">
        <w:t>3</w:t>
      </w:r>
      <w:r w:rsidRPr="009215A9">
        <w:t>% t</w:t>
      </w:r>
      <w:r>
        <w:t>un</w:t>
      </w:r>
      <w:r w:rsidRPr="009215A9">
        <w:t>didest)</w:t>
      </w:r>
      <w:r w:rsidR="002B4BFE">
        <w:t>, neist 1</w:t>
      </w:r>
      <w:r w:rsidR="00913AEF">
        <w:t>8</w:t>
      </w:r>
      <w:r w:rsidR="002B4BFE">
        <w:t xml:space="preserve"> tunnil oli hinnaerinevuse põhjuseks nn </w:t>
      </w:r>
      <w:proofErr w:type="spellStart"/>
      <w:r w:rsidR="002B4BFE">
        <w:t>rampimise</w:t>
      </w:r>
      <w:proofErr w:type="spellEnd"/>
      <w:r w:rsidR="002B4BFE">
        <w:t xml:space="preserve"> piirang.</w:t>
      </w:r>
      <w:r w:rsidR="00EE2E7C">
        <w:t xml:space="preserve"> Keskmiseks hinnaerinevuseks kujunes 2,19 €/MWh, see on viimase 16 kuu suurim erinevus. </w:t>
      </w:r>
    </w:p>
    <w:p w14:paraId="366FD077" w14:textId="77777777" w:rsidR="009215A9" w:rsidRDefault="009215A9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0"/>
        <w:gridCol w:w="991"/>
        <w:gridCol w:w="991"/>
      </w:tblGrid>
      <w:tr w:rsidR="00176304" w:rsidRPr="00D231C5" w14:paraId="14914B7A" w14:textId="596562F6" w:rsidTr="00CE2007">
        <w:tc>
          <w:tcPr>
            <w:tcW w:w="1701" w:type="dxa"/>
            <w:shd w:val="clear" w:color="auto" w:fill="007087"/>
            <w:vAlign w:val="center"/>
          </w:tcPr>
          <w:p w14:paraId="18BE6999" w14:textId="55009283" w:rsidR="00176304" w:rsidRPr="00D231C5" w:rsidRDefault="00D76E9C" w:rsidP="003B53BE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Veebr</w:t>
            </w:r>
            <w:r w:rsidR="003B53BE">
              <w:rPr>
                <w:b/>
                <w:color w:val="FFFFFF" w:themeColor="background1"/>
                <w:sz w:val="16"/>
                <w:szCs w:val="16"/>
              </w:rPr>
              <w:t>uar</w:t>
            </w:r>
            <w:r w:rsidR="00176304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 w:rsidR="003B53BE">
              <w:rPr>
                <w:b/>
                <w:color w:val="FFFFFF" w:themeColor="background1"/>
                <w:sz w:val="16"/>
                <w:szCs w:val="16"/>
              </w:rPr>
              <w:t>6</w:t>
            </w:r>
            <w:r w:rsidR="00176304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90" w:type="dxa"/>
            <w:shd w:val="clear" w:color="auto" w:fill="007087"/>
            <w:vAlign w:val="center"/>
          </w:tcPr>
          <w:p w14:paraId="5BE5DABD" w14:textId="293AEA05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91" w:type="dxa"/>
            <w:shd w:val="clear" w:color="auto" w:fill="007087"/>
            <w:vAlign w:val="center"/>
          </w:tcPr>
          <w:p w14:paraId="1C055B6E" w14:textId="6715761B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  <w:tc>
          <w:tcPr>
            <w:tcW w:w="991" w:type="dxa"/>
            <w:shd w:val="clear" w:color="auto" w:fill="007087"/>
          </w:tcPr>
          <w:p w14:paraId="21925E05" w14:textId="3D60E8E3" w:rsidR="00176304" w:rsidRPr="00D231C5" w:rsidRDefault="00176304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</w:tr>
      <w:tr w:rsidR="00176304" w:rsidRPr="00D231C5" w14:paraId="6259BA7D" w14:textId="072DB9D1" w:rsidTr="00CE2007">
        <w:tc>
          <w:tcPr>
            <w:tcW w:w="1701" w:type="dxa"/>
            <w:vAlign w:val="center"/>
          </w:tcPr>
          <w:p w14:paraId="250949DC" w14:textId="478FD335" w:rsidR="00176304" w:rsidRPr="00D231C5" w:rsidRDefault="00176304" w:rsidP="0014591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90" w:type="dxa"/>
            <w:vAlign w:val="center"/>
          </w:tcPr>
          <w:p w14:paraId="70633BC9" w14:textId="7F502B4B" w:rsidR="00176304" w:rsidRPr="00D231C5" w:rsidRDefault="0088579C" w:rsidP="0017630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19,94</w:t>
            </w:r>
          </w:p>
        </w:tc>
        <w:tc>
          <w:tcPr>
            <w:tcW w:w="991" w:type="dxa"/>
            <w:vAlign w:val="center"/>
          </w:tcPr>
          <w:p w14:paraId="29F97712" w14:textId="6208B08B" w:rsidR="00176304" w:rsidRPr="00D231C5" w:rsidRDefault="0088579C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42,82</w:t>
            </w:r>
          </w:p>
        </w:tc>
        <w:tc>
          <w:tcPr>
            <w:tcW w:w="991" w:type="dxa"/>
          </w:tcPr>
          <w:p w14:paraId="003E2BCB" w14:textId="02699EB7" w:rsidR="00176304" w:rsidRDefault="0088579C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</w:tr>
      <w:tr w:rsidR="00176304" w:rsidRPr="00D231C5" w14:paraId="4B67686C" w14:textId="6C22CC4E" w:rsidTr="00CE2007">
        <w:tc>
          <w:tcPr>
            <w:tcW w:w="1701" w:type="dxa"/>
            <w:vAlign w:val="center"/>
          </w:tcPr>
          <w:p w14:paraId="27543C28" w14:textId="73A673E3" w:rsidR="00176304" w:rsidRPr="00D231C5" w:rsidRDefault="00176304" w:rsidP="0014591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90" w:type="dxa"/>
            <w:vAlign w:val="center"/>
          </w:tcPr>
          <w:p w14:paraId="65948FD7" w14:textId="4199DA0D" w:rsidR="00176304" w:rsidRPr="00D231C5" w:rsidRDefault="0088579C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26,09</w:t>
            </w:r>
          </w:p>
        </w:tc>
        <w:tc>
          <w:tcPr>
            <w:tcW w:w="991" w:type="dxa"/>
            <w:vAlign w:val="center"/>
          </w:tcPr>
          <w:p w14:paraId="0F5F059F" w14:textId="464EFDAA" w:rsidR="00176304" w:rsidRPr="00D231C5" w:rsidRDefault="0088579C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50,48</w:t>
            </w:r>
          </w:p>
        </w:tc>
        <w:tc>
          <w:tcPr>
            <w:tcW w:w="991" w:type="dxa"/>
          </w:tcPr>
          <w:p w14:paraId="0E04CA12" w14:textId="5F662D89" w:rsidR="00176304" w:rsidRDefault="0088579C" w:rsidP="00BD539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</w:t>
            </w:r>
          </w:p>
        </w:tc>
      </w:tr>
      <w:tr w:rsidR="0088579C" w:rsidRPr="00D231C5" w14:paraId="3A099B34" w14:textId="68C8CE75" w:rsidTr="00CE2007">
        <w:tc>
          <w:tcPr>
            <w:tcW w:w="1701" w:type="dxa"/>
            <w:vAlign w:val="center"/>
          </w:tcPr>
          <w:p w14:paraId="591DD1E5" w14:textId="53B8D149" w:rsidR="0088579C" w:rsidRPr="00D231C5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90" w:type="dxa"/>
            <w:vAlign w:val="center"/>
          </w:tcPr>
          <w:p w14:paraId="680A3626" w14:textId="6DEDC53F" w:rsidR="0088579C" w:rsidRPr="00D231C5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28,28</w:t>
            </w:r>
          </w:p>
        </w:tc>
        <w:tc>
          <w:tcPr>
            <w:tcW w:w="991" w:type="dxa"/>
            <w:vAlign w:val="center"/>
          </w:tcPr>
          <w:p w14:paraId="6ACC4896" w14:textId="2A6247B2" w:rsidR="0088579C" w:rsidRPr="00D231C5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50,48</w:t>
            </w:r>
          </w:p>
        </w:tc>
        <w:tc>
          <w:tcPr>
            <w:tcW w:w="991" w:type="dxa"/>
          </w:tcPr>
          <w:p w14:paraId="7AA54800" w14:textId="17653AF4" w:rsidR="0088579C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</w:t>
            </w:r>
          </w:p>
        </w:tc>
      </w:tr>
      <w:tr w:rsidR="0088579C" w:rsidRPr="00D231C5" w14:paraId="2E5FEF53" w14:textId="31C81E9D" w:rsidTr="00CE2007">
        <w:tc>
          <w:tcPr>
            <w:tcW w:w="1701" w:type="dxa"/>
            <w:vAlign w:val="center"/>
          </w:tcPr>
          <w:p w14:paraId="1D93E559" w14:textId="7441C73E" w:rsidR="0088579C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90" w:type="dxa"/>
            <w:vAlign w:val="center"/>
          </w:tcPr>
          <w:p w14:paraId="4DD2376F" w14:textId="7C144427" w:rsidR="0088579C" w:rsidRPr="00D231C5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  <w:tc>
          <w:tcPr>
            <w:tcW w:w="991" w:type="dxa"/>
            <w:vAlign w:val="center"/>
          </w:tcPr>
          <w:p w14:paraId="14A58EB2" w14:textId="74747A97" w:rsidR="0088579C" w:rsidRPr="00D231C5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50,48</w:t>
            </w:r>
          </w:p>
        </w:tc>
        <w:tc>
          <w:tcPr>
            <w:tcW w:w="991" w:type="dxa"/>
          </w:tcPr>
          <w:p w14:paraId="654B3530" w14:textId="245B5B9A" w:rsidR="0088579C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13,72</w:t>
            </w:r>
          </w:p>
        </w:tc>
      </w:tr>
      <w:tr w:rsidR="0088579C" w:rsidRPr="00D231C5" w14:paraId="7D96D652" w14:textId="77777777" w:rsidTr="00CE2007">
        <w:tc>
          <w:tcPr>
            <w:tcW w:w="1701" w:type="dxa"/>
            <w:vAlign w:val="center"/>
          </w:tcPr>
          <w:p w14:paraId="515903AB" w14:textId="1A857AAE" w:rsidR="0088579C" w:rsidRDefault="0088579C" w:rsidP="0088579C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90" w:type="dxa"/>
            <w:vAlign w:val="center"/>
          </w:tcPr>
          <w:p w14:paraId="5EEE9EF8" w14:textId="30877C69" w:rsidR="0088579C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29,65</w:t>
            </w:r>
          </w:p>
        </w:tc>
        <w:tc>
          <w:tcPr>
            <w:tcW w:w="991" w:type="dxa"/>
            <w:vAlign w:val="center"/>
          </w:tcPr>
          <w:p w14:paraId="035586DC" w14:textId="72452171" w:rsidR="0088579C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50,48</w:t>
            </w:r>
          </w:p>
        </w:tc>
        <w:tc>
          <w:tcPr>
            <w:tcW w:w="991" w:type="dxa"/>
          </w:tcPr>
          <w:p w14:paraId="03235595" w14:textId="2E07CB70" w:rsidR="0088579C" w:rsidRDefault="0088579C" w:rsidP="00885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13,72</w:t>
            </w:r>
          </w:p>
        </w:tc>
      </w:tr>
    </w:tbl>
    <w:p w14:paraId="4FE3B46A" w14:textId="77777777" w:rsidR="00176304" w:rsidRDefault="00176304" w:rsidP="0022344D"/>
    <w:p w14:paraId="6D8D1495" w14:textId="5A5F5D52" w:rsidR="00176304" w:rsidRDefault="003769F1" w:rsidP="0022344D">
      <w:r>
        <w:t>Veebr</w:t>
      </w:r>
      <w:r w:rsidR="004D247C">
        <w:t>uari</w:t>
      </w:r>
      <w:r w:rsidR="0014591B">
        <w:t xml:space="preserve"> N</w:t>
      </w:r>
      <w:r w:rsidR="004D247C">
        <w:t xml:space="preserve">ord </w:t>
      </w:r>
      <w:r w:rsidR="0014591B">
        <w:t>P</w:t>
      </w:r>
      <w:r w:rsidR="004D247C">
        <w:t>ool</w:t>
      </w:r>
      <w:r w:rsidR="00176304" w:rsidRPr="00176304">
        <w:t xml:space="preserve"> Eesti hinnapiirkonna tunnihinnad </w:t>
      </w:r>
      <w:r w:rsidR="00AC7ECF">
        <w:t xml:space="preserve">olid </w:t>
      </w:r>
      <w:r>
        <w:t>stabiilsed</w:t>
      </w:r>
      <w:r w:rsidR="004D247C">
        <w:t>:</w:t>
      </w:r>
      <w:r w:rsidR="006024ED">
        <w:t xml:space="preserve"> </w:t>
      </w:r>
      <w:r w:rsidR="004D247C">
        <w:t>3</w:t>
      </w:r>
      <w:r>
        <w:t>7</w:t>
      </w:r>
      <w:r w:rsidR="00176304" w:rsidRPr="00176304">
        <w:t>% ajast</w:t>
      </w:r>
      <w:r w:rsidR="006024ED">
        <w:t xml:space="preserve"> jäid hinnad</w:t>
      </w:r>
      <w:r w:rsidR="00176304" w:rsidRPr="00176304">
        <w:t xml:space="preserve"> alla 25 €/MWh</w:t>
      </w:r>
      <w:r w:rsidR="006024ED">
        <w:t>, s</w:t>
      </w:r>
      <w:r w:rsidR="00176304" w:rsidRPr="00176304">
        <w:t xml:space="preserve">uurim päevasisene hindade erinevus </w:t>
      </w:r>
      <w:r>
        <w:t>oli 8</w:t>
      </w:r>
      <w:r w:rsidR="00176304" w:rsidRPr="00176304">
        <w:t xml:space="preserve">. </w:t>
      </w:r>
      <w:r>
        <w:t>veebr</w:t>
      </w:r>
      <w:r w:rsidR="004D247C">
        <w:t>ua</w:t>
      </w:r>
      <w:r w:rsidR="00176304" w:rsidRPr="00176304">
        <w:t xml:space="preserve">ril, mil päeva miinimum- ja maksimumhind erinesid </w:t>
      </w:r>
      <w:r>
        <w:t>45,24</w:t>
      </w:r>
      <w:r w:rsidR="00176304" w:rsidRPr="00176304">
        <w:t xml:space="preserve"> euro võrra MWh kohta (</w:t>
      </w:r>
      <w:r>
        <w:t>jaanuaris</w:t>
      </w:r>
      <w:r w:rsidR="00176304" w:rsidRPr="00176304">
        <w:t xml:space="preserve"> </w:t>
      </w:r>
      <w:r w:rsidR="00176304">
        <w:t>oli suurim tunni</w:t>
      </w:r>
      <w:r w:rsidR="00176304" w:rsidRPr="00176304">
        <w:t xml:space="preserve">hindade erinevus </w:t>
      </w:r>
      <w:r w:rsidR="004D247C">
        <w:t xml:space="preserve">vaid </w:t>
      </w:r>
      <w:r>
        <w:t>173,41</w:t>
      </w:r>
      <w:r w:rsidR="004D247C">
        <w:t xml:space="preserve"> </w:t>
      </w:r>
      <w:r w:rsidR="00176304" w:rsidRPr="00176304">
        <w:t>€/MWh).</w:t>
      </w:r>
    </w:p>
    <w:p w14:paraId="37570B6D" w14:textId="77777777" w:rsidR="00176304" w:rsidRDefault="00176304" w:rsidP="0022344D"/>
    <w:p w14:paraId="585B7C4F" w14:textId="2816E543" w:rsidR="00176304" w:rsidRDefault="003769F1" w:rsidP="00BA7A51">
      <w:pPr>
        <w:spacing w:after="40"/>
      </w:pPr>
      <w:r>
        <w:rPr>
          <w:noProof/>
        </w:rPr>
        <w:drawing>
          <wp:inline distT="0" distB="0" distL="0" distR="0" wp14:anchorId="43B885E0" wp14:editId="08D32AA0">
            <wp:extent cx="297180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3D1E" w14:textId="12AC49E1" w:rsidR="009215A9" w:rsidRPr="0055665C" w:rsidRDefault="0055665C" w:rsidP="0022344D">
      <w:pPr>
        <w:rPr>
          <w:rStyle w:val="SubtleEmphasis"/>
        </w:rPr>
      </w:pPr>
      <w:r w:rsidRPr="0055665C">
        <w:rPr>
          <w:rStyle w:val="SubtleEmphasis"/>
        </w:rPr>
        <w:t>N</w:t>
      </w:r>
      <w:r w:rsidR="004D247C">
        <w:rPr>
          <w:rStyle w:val="SubtleEmphasis"/>
        </w:rPr>
        <w:t xml:space="preserve">ord </w:t>
      </w:r>
      <w:r w:rsidRPr="0055665C">
        <w:rPr>
          <w:rStyle w:val="SubtleEmphasis"/>
        </w:rPr>
        <w:t>P</w:t>
      </w:r>
      <w:r w:rsidR="004D247C">
        <w:rPr>
          <w:rStyle w:val="SubtleEmphasis"/>
        </w:rPr>
        <w:t>ool</w:t>
      </w:r>
      <w:r w:rsidRPr="0055665C">
        <w:rPr>
          <w:rStyle w:val="SubtleEmphasis"/>
        </w:rPr>
        <w:t xml:space="preserve"> Eesti hinnapiirk</w:t>
      </w:r>
      <w:r>
        <w:rPr>
          <w:rStyle w:val="SubtleEmphasis"/>
        </w:rPr>
        <w:t xml:space="preserve">onna hindade volatiilsus </w:t>
      </w:r>
      <w:r w:rsidR="003769F1">
        <w:rPr>
          <w:rStyle w:val="SubtleEmphasis"/>
        </w:rPr>
        <w:t>veebr</w:t>
      </w:r>
      <w:r w:rsidR="004D247C">
        <w:rPr>
          <w:rStyle w:val="SubtleEmphasis"/>
        </w:rPr>
        <w:t>ua</w:t>
      </w:r>
      <w:r w:rsidRPr="0055665C">
        <w:rPr>
          <w:rStyle w:val="SubtleEmphasis"/>
        </w:rPr>
        <w:t>ris</w:t>
      </w:r>
      <w:r>
        <w:rPr>
          <w:rStyle w:val="SubtleEmphasis"/>
        </w:rPr>
        <w:t xml:space="preserve"> 201</w:t>
      </w:r>
      <w:r w:rsidR="004D247C">
        <w:rPr>
          <w:rStyle w:val="SubtleEmphasis"/>
        </w:rPr>
        <w:t>6</w:t>
      </w:r>
    </w:p>
    <w:p w14:paraId="274231E3" w14:textId="77777777" w:rsidR="0055665C" w:rsidRDefault="0055665C" w:rsidP="0022344D"/>
    <w:p w14:paraId="279F1E46" w14:textId="2E4FD197" w:rsidR="00176304" w:rsidRDefault="0055665C" w:rsidP="00176304">
      <w:pPr>
        <w:pStyle w:val="Heading2"/>
      </w:pPr>
      <w:r>
        <w:t>Võimsusvoog</w:t>
      </w:r>
    </w:p>
    <w:p w14:paraId="39EC983F" w14:textId="449975B0" w:rsidR="00BD5398" w:rsidRPr="00BD5398" w:rsidRDefault="00BD5398" w:rsidP="00176304">
      <w:pPr>
        <w:rPr>
          <w:b/>
          <w:color w:val="007087"/>
          <w:sz w:val="20"/>
          <w:szCs w:val="22"/>
        </w:rPr>
      </w:pPr>
      <w:r w:rsidRPr="00BD5398">
        <w:rPr>
          <w:b/>
          <w:color w:val="007087"/>
          <w:sz w:val="20"/>
          <w:szCs w:val="22"/>
        </w:rPr>
        <w:t>Eesti-Soome</w:t>
      </w:r>
    </w:p>
    <w:p w14:paraId="63085F82" w14:textId="5A364614" w:rsidR="00F607C3" w:rsidRDefault="00F51163" w:rsidP="00176304">
      <w:r w:rsidRPr="00F51163">
        <w:t xml:space="preserve">Päev-ette Eesti ja Soome vaheline võimsusvoog oli </w:t>
      </w:r>
      <w:r w:rsidR="001159C3">
        <w:t>668</w:t>
      </w:r>
      <w:r w:rsidRPr="00F51163">
        <w:t xml:space="preserve"> tunnil suunatud Soomest Eestisse ja </w:t>
      </w:r>
      <w:r w:rsidR="001159C3">
        <w:t>28</w:t>
      </w:r>
      <w:r w:rsidRPr="00F51163">
        <w:t xml:space="preserve"> tunnil suunaga </w:t>
      </w:r>
      <w:r w:rsidRPr="00F51163">
        <w:lastRenderedPageBreak/>
        <w:t>Eestist Soome (</w:t>
      </w:r>
      <w:r w:rsidR="001159C3">
        <w:t>jaanuaris</w:t>
      </w:r>
      <w:r w:rsidRPr="00F51163">
        <w:t xml:space="preserve"> vastavalt </w:t>
      </w:r>
      <w:r w:rsidR="001159C3">
        <w:t>595</w:t>
      </w:r>
      <w:r w:rsidRPr="00F51163">
        <w:t xml:space="preserve"> ja </w:t>
      </w:r>
      <w:r w:rsidR="001159C3">
        <w:t>149</w:t>
      </w:r>
      <w:r w:rsidRPr="00F51163">
        <w:t xml:space="preserve"> tunnil). Üle</w:t>
      </w:r>
      <w:r w:rsidR="001B0037">
        <w:softHyphen/>
      </w:r>
      <w:r w:rsidRPr="00F51163">
        <w:t xml:space="preserve">kandevõimsus </w:t>
      </w:r>
      <w:r w:rsidR="00F607C3">
        <w:t xml:space="preserve">suunal Soome-Eesti </w:t>
      </w:r>
      <w:r w:rsidRPr="00F51163">
        <w:t>oli maksimaalses ulatu</w:t>
      </w:r>
      <w:r w:rsidR="001B0037">
        <w:softHyphen/>
      </w:r>
      <w:r w:rsidRPr="00F51163">
        <w:t xml:space="preserve">ses koormatud </w:t>
      </w:r>
      <w:r w:rsidR="001159C3">
        <w:t>222</w:t>
      </w:r>
      <w:r w:rsidRPr="00F51163">
        <w:t xml:space="preserve"> tunnil (</w:t>
      </w:r>
      <w:r w:rsidR="001159C3">
        <w:t>jaanuaris</w:t>
      </w:r>
      <w:r w:rsidRPr="00F51163">
        <w:t xml:space="preserve"> </w:t>
      </w:r>
      <w:r w:rsidR="001159C3">
        <w:t>kolmel</w:t>
      </w:r>
      <w:r w:rsidR="00F607C3">
        <w:t xml:space="preserve"> tunnil)</w:t>
      </w:r>
      <w:r w:rsidR="009E72C2">
        <w:t xml:space="preserve">. </w:t>
      </w:r>
      <w:r w:rsidR="00F607C3">
        <w:t>Päeva</w:t>
      </w:r>
      <w:r w:rsidR="001B0037">
        <w:softHyphen/>
      </w:r>
      <w:r w:rsidR="00F607C3">
        <w:t xml:space="preserve">siseste tehingute tulemusena </w:t>
      </w:r>
      <w:r w:rsidR="00E77385">
        <w:t>vähenes</w:t>
      </w:r>
      <w:r w:rsidR="000E31EA">
        <w:t xml:space="preserve"> </w:t>
      </w:r>
      <w:r w:rsidR="00F607C3">
        <w:t xml:space="preserve">pudelikael suunal Soome-Eesti </w:t>
      </w:r>
      <w:r w:rsidR="00DC707B">
        <w:t>176 tunnini</w:t>
      </w:r>
      <w:r w:rsidR="00F607C3">
        <w:t xml:space="preserve">. </w:t>
      </w:r>
      <w:r w:rsidR="00DC707B">
        <w:t>Ü</w:t>
      </w:r>
      <w:r w:rsidR="00F607C3">
        <w:t>le</w:t>
      </w:r>
      <w:r w:rsidR="006F5F2B">
        <w:softHyphen/>
      </w:r>
      <w:r w:rsidR="00F607C3">
        <w:t>kandevõimsuse puudujää</w:t>
      </w:r>
      <w:r w:rsidR="00E77385">
        <w:t>k esines</w:t>
      </w:r>
      <w:r w:rsidR="00F607C3">
        <w:t xml:space="preserve"> </w:t>
      </w:r>
      <w:r w:rsidR="002B4BFE">
        <w:t>tun</w:t>
      </w:r>
      <w:r w:rsidR="00E77385">
        <w:t>d</w:t>
      </w:r>
      <w:r w:rsidR="002B4BFE">
        <w:t>i</w:t>
      </w:r>
      <w:r w:rsidR="00E77385">
        <w:t>de</w:t>
      </w:r>
      <w:r w:rsidR="002B4BFE">
        <w:t>l</w:t>
      </w:r>
      <w:r w:rsidR="00F607C3" w:rsidRPr="00F51163">
        <w:t xml:space="preserve">, mil </w:t>
      </w:r>
      <w:r w:rsidR="002B4BFE">
        <w:t>ühendustel ei olnud piiranguid</w:t>
      </w:r>
      <w:r w:rsidR="00F607C3" w:rsidRPr="00F51163">
        <w:t>.</w:t>
      </w:r>
    </w:p>
    <w:p w14:paraId="1421AA57" w14:textId="77777777" w:rsidR="00F607C3" w:rsidRDefault="00F607C3" w:rsidP="00176304"/>
    <w:p w14:paraId="404D6AEE" w14:textId="6C6CFF3E" w:rsidR="00F51163" w:rsidRDefault="002B4BFE" w:rsidP="00176304">
      <w:r>
        <w:t>1</w:t>
      </w:r>
      <w:r w:rsidR="00E77385">
        <w:t>8</w:t>
      </w:r>
      <w:r w:rsidR="00F51163" w:rsidRPr="00F51163">
        <w:t xml:space="preserve"> tunnil esines ka nn. alalisvooluühenduste </w:t>
      </w:r>
      <w:proofErr w:type="spellStart"/>
      <w:r w:rsidR="00F51163" w:rsidRPr="00F51163">
        <w:t>rampimise</w:t>
      </w:r>
      <w:proofErr w:type="spellEnd"/>
      <w:r w:rsidR="00F51163" w:rsidRPr="00F51163">
        <w:t xml:space="preserve"> p</w:t>
      </w:r>
      <w:r w:rsidR="00F51163">
        <w:t>ii</w:t>
      </w:r>
      <w:r w:rsidR="001B0037">
        <w:softHyphen/>
      </w:r>
      <w:r w:rsidR="00F51163">
        <w:t>rang</w:t>
      </w:r>
      <w:r w:rsidR="00F51163" w:rsidRPr="00F51163">
        <w:t xml:space="preserve"> (</w:t>
      </w:r>
      <w:r w:rsidR="00E77385">
        <w:t>jaanuaris</w:t>
      </w:r>
      <w:r w:rsidR="00F51163">
        <w:t xml:space="preserve"> </w:t>
      </w:r>
      <w:r w:rsidR="00E77385">
        <w:t>14</w:t>
      </w:r>
      <w:r>
        <w:t xml:space="preserve"> tunnil</w:t>
      </w:r>
      <w:r w:rsidR="00F51163" w:rsidRPr="00F51163">
        <w:t xml:space="preserve">). </w:t>
      </w:r>
      <w:proofErr w:type="spellStart"/>
      <w:r w:rsidR="00F51163" w:rsidRPr="00F51163">
        <w:t>Rampimise</w:t>
      </w:r>
      <w:proofErr w:type="spellEnd"/>
      <w:r w:rsidR="00F51163" w:rsidRPr="00F51163">
        <w:t xml:space="preserve"> piirang tähendab, et kõiki turutehinguid ei olnud võimalik täita, sest võimsus</w:t>
      </w:r>
      <w:r w:rsidR="001B0037">
        <w:softHyphen/>
      </w:r>
      <w:r w:rsidR="00F51163" w:rsidRPr="00F51163">
        <w:t xml:space="preserve">voog </w:t>
      </w:r>
      <w:proofErr w:type="spellStart"/>
      <w:r w:rsidR="00F51163" w:rsidRPr="00F51163">
        <w:t>EstLinkidel</w:t>
      </w:r>
      <w:proofErr w:type="spellEnd"/>
      <w:r w:rsidR="00F51163" w:rsidRPr="00F51163">
        <w:t xml:space="preserve"> ei tohi muutu</w:t>
      </w:r>
      <w:r w:rsidR="006F5F2B">
        <w:softHyphen/>
      </w:r>
      <w:r w:rsidR="00F51163" w:rsidRPr="00F51163">
        <w:t>da üle 600 MW tunnis. Tege</w:t>
      </w:r>
      <w:r w:rsidR="001B0037">
        <w:softHyphen/>
      </w:r>
      <w:r w:rsidR="00F51163" w:rsidRPr="00F51163">
        <w:t xml:space="preserve">mist ei ole </w:t>
      </w:r>
      <w:proofErr w:type="spellStart"/>
      <w:r w:rsidR="00F51163" w:rsidRPr="00F51163">
        <w:t>EstLinkidest</w:t>
      </w:r>
      <w:proofErr w:type="spellEnd"/>
      <w:r w:rsidR="00F51163" w:rsidRPr="00F51163">
        <w:t xml:space="preserve"> tingitud tehnilise piiranguga, pii</w:t>
      </w:r>
      <w:r w:rsidR="001B0037">
        <w:softHyphen/>
      </w:r>
      <w:r w:rsidR="00F51163" w:rsidRPr="00F51163">
        <w:t>rang on vajalik Põhjamaade sünkroonala elektri</w:t>
      </w:r>
      <w:r w:rsidR="00354CE0">
        <w:softHyphen/>
      </w:r>
      <w:r w:rsidR="00F51163" w:rsidRPr="00F51163">
        <w:t>süsteemi</w:t>
      </w:r>
      <w:r w:rsidR="001B0037">
        <w:softHyphen/>
      </w:r>
      <w:r w:rsidR="00F51163" w:rsidRPr="00F51163">
        <w:t>de töökindla talitluse tagamiseks.</w:t>
      </w:r>
    </w:p>
    <w:p w14:paraId="5A5CDD79" w14:textId="77777777" w:rsidR="00F607C3" w:rsidRDefault="00F607C3" w:rsidP="00176304"/>
    <w:p w14:paraId="37A961CB" w14:textId="1BD47B56" w:rsidR="00F607C3" w:rsidRDefault="00850C67" w:rsidP="00BA7A51">
      <w:pPr>
        <w:spacing w:after="40"/>
      </w:pPr>
      <w:r>
        <w:rPr>
          <w:noProof/>
        </w:rPr>
        <w:drawing>
          <wp:inline distT="0" distB="0" distL="0" distR="0" wp14:anchorId="6CB3E1BC" wp14:editId="4B3A6F81">
            <wp:extent cx="2966085" cy="1781175"/>
            <wp:effectExtent l="0" t="0" r="571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1B806496" w:rsidR="00F607C3" w:rsidRDefault="00F607C3" w:rsidP="00176304">
      <w:r>
        <w:rPr>
          <w:rStyle w:val="SubtleEmphasis"/>
        </w:rPr>
        <w:t xml:space="preserve">NP Eesti ja </w:t>
      </w:r>
      <w:r w:rsidR="006F5F2B">
        <w:rPr>
          <w:rStyle w:val="SubtleEmphasis"/>
        </w:rPr>
        <w:t xml:space="preserve">NP </w:t>
      </w:r>
      <w:r>
        <w:rPr>
          <w:rStyle w:val="SubtleEmphasis"/>
        </w:rPr>
        <w:t xml:space="preserve">Soome vahelised võimsusvood </w:t>
      </w:r>
      <w:r w:rsidR="00EE2E7C">
        <w:rPr>
          <w:rStyle w:val="SubtleEmphasis"/>
        </w:rPr>
        <w:t>2016</w:t>
      </w:r>
      <w:r>
        <w:rPr>
          <w:rStyle w:val="SubtleEmphasis"/>
        </w:rPr>
        <w:t xml:space="preserve">. a </w:t>
      </w:r>
      <w:r w:rsidR="00EE2E7C">
        <w:rPr>
          <w:rStyle w:val="SubtleEmphasis"/>
        </w:rPr>
        <w:t>veebruaris</w:t>
      </w:r>
    </w:p>
    <w:p w14:paraId="3CB58FC3" w14:textId="77777777" w:rsidR="00F607C3" w:rsidRDefault="00F607C3" w:rsidP="00176304"/>
    <w:p w14:paraId="1C58EDDB" w14:textId="4C1FC329" w:rsidR="00F607C3" w:rsidRDefault="006F5F2B" w:rsidP="00176304">
      <w:r w:rsidRPr="006F5F2B">
        <w:t>Ülekandevõimsuste ja</w:t>
      </w:r>
      <w:r w:rsidR="00F910DB">
        <w:t>otamise tulu põhivõrguettevõte</w:t>
      </w:r>
      <w:r w:rsidRPr="006F5F2B">
        <w:t xml:space="preserve">tele </w:t>
      </w:r>
      <w:proofErr w:type="spellStart"/>
      <w:r w:rsidRPr="006F5F2B">
        <w:t>Elering</w:t>
      </w:r>
      <w:proofErr w:type="spellEnd"/>
      <w:r w:rsidRPr="006F5F2B">
        <w:t xml:space="preserve"> ja </w:t>
      </w:r>
      <w:proofErr w:type="spellStart"/>
      <w:r w:rsidRPr="006F5F2B">
        <w:t>Fingrid</w:t>
      </w:r>
      <w:proofErr w:type="spellEnd"/>
      <w:r w:rsidRPr="006F5F2B">
        <w:t xml:space="preserve"> oli </w:t>
      </w:r>
      <w:r w:rsidR="00E77385">
        <w:t>veebr</w:t>
      </w:r>
      <w:r w:rsidR="00D14042">
        <w:t xml:space="preserve">uaris </w:t>
      </w:r>
      <w:r w:rsidRPr="006F5F2B">
        <w:t xml:space="preserve">kokku </w:t>
      </w:r>
      <w:r w:rsidR="00E77385">
        <w:t>1,54 mln</w:t>
      </w:r>
      <w:r w:rsidRPr="006F5F2B">
        <w:t xml:space="preserve"> eurot (</w:t>
      </w:r>
      <w:r w:rsidR="00E77385">
        <w:t>jaa</w:t>
      </w:r>
      <w:r w:rsidR="001B0037">
        <w:softHyphen/>
      </w:r>
      <w:r w:rsidR="00E77385">
        <w:t>nuaris</w:t>
      </w:r>
      <w:r w:rsidR="00D14042" w:rsidRPr="006F5F2B">
        <w:t xml:space="preserve"> </w:t>
      </w:r>
      <w:r w:rsidR="00E77385">
        <w:t>203 008</w:t>
      </w:r>
      <w:r w:rsidR="00E77385" w:rsidRPr="006F5F2B">
        <w:t xml:space="preserve"> </w:t>
      </w:r>
      <w:r w:rsidRPr="006F5F2B">
        <w:t>eu</w:t>
      </w:r>
      <w:r>
        <w:t xml:space="preserve">rot). </w:t>
      </w:r>
      <w:proofErr w:type="spellStart"/>
      <w:r>
        <w:t>Vastukaubandustehinguid</w:t>
      </w:r>
      <w:proofErr w:type="spellEnd"/>
      <w:r>
        <w:t xml:space="preserve"> </w:t>
      </w:r>
      <w:r w:rsidR="00E77385">
        <w:t>veebrua</w:t>
      </w:r>
      <w:r w:rsidR="001B0037">
        <w:softHyphen/>
      </w:r>
      <w:r w:rsidR="00E77385">
        <w:t>ris</w:t>
      </w:r>
      <w:r>
        <w:t xml:space="preserve"> </w:t>
      </w:r>
      <w:r w:rsidR="00BD5398">
        <w:t xml:space="preserve">sarnaselt </w:t>
      </w:r>
      <w:r w:rsidR="00E77385">
        <w:t>jaanuarile</w:t>
      </w:r>
      <w:r w:rsidR="00BD5398">
        <w:t xml:space="preserve"> </w:t>
      </w:r>
      <w:r>
        <w:t>vaja ei läinud</w:t>
      </w:r>
      <w:r w:rsidR="00DB37AD">
        <w:t>.</w:t>
      </w:r>
    </w:p>
    <w:p w14:paraId="7FAE8C97" w14:textId="77777777" w:rsidR="00F607C3" w:rsidRDefault="00F607C3" w:rsidP="00176304"/>
    <w:p w14:paraId="1E592212" w14:textId="5931DAA8" w:rsidR="00176304" w:rsidRDefault="00E77385" w:rsidP="00BA7A51">
      <w:pPr>
        <w:spacing w:after="40"/>
      </w:pPr>
      <w:r>
        <w:rPr>
          <w:noProof/>
        </w:rPr>
        <w:drawing>
          <wp:inline distT="0" distB="0" distL="0" distR="0" wp14:anchorId="2E2C594D" wp14:editId="2D20AA4B">
            <wp:extent cx="2966085" cy="1781175"/>
            <wp:effectExtent l="0" t="0" r="571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29AD9" w14:textId="5742D4DA" w:rsidR="009215A9" w:rsidRDefault="006F5F2B" w:rsidP="006F5F2B">
      <w:pPr>
        <w:jc w:val="left"/>
      </w:pPr>
      <w:r>
        <w:rPr>
          <w:rStyle w:val="SubtleEmphasis"/>
        </w:rPr>
        <w:t xml:space="preserve">Ülekandevõimsuse jaotamise tulu </w:t>
      </w:r>
      <w:proofErr w:type="spellStart"/>
      <w:r>
        <w:rPr>
          <w:rStyle w:val="SubtleEmphasis"/>
        </w:rPr>
        <w:t>EstLink</w:t>
      </w:r>
      <w:proofErr w:type="spellEnd"/>
      <w:r>
        <w:rPr>
          <w:rStyle w:val="SubtleEmphasis"/>
        </w:rPr>
        <w:t xml:space="preserve"> kaablite omanikele </w:t>
      </w:r>
      <w:r w:rsidR="00BD5398">
        <w:rPr>
          <w:rStyle w:val="SubtleEmphasis"/>
        </w:rPr>
        <w:t>jooksval aastal</w:t>
      </w:r>
    </w:p>
    <w:p w14:paraId="129B61C2" w14:textId="77777777" w:rsidR="009215A9" w:rsidRDefault="009215A9" w:rsidP="0022344D"/>
    <w:p w14:paraId="4CA3149F" w14:textId="66219C0E" w:rsidR="00BD5398" w:rsidRPr="00BD5398" w:rsidRDefault="00BD5398" w:rsidP="00BD5398">
      <w:pPr>
        <w:rPr>
          <w:b/>
          <w:color w:val="007087"/>
          <w:sz w:val="20"/>
          <w:szCs w:val="22"/>
        </w:rPr>
      </w:pPr>
      <w:r w:rsidRPr="00BD5398">
        <w:rPr>
          <w:b/>
          <w:color w:val="007087"/>
          <w:sz w:val="20"/>
          <w:szCs w:val="22"/>
        </w:rPr>
        <w:t>Eesti-</w:t>
      </w:r>
      <w:r>
        <w:rPr>
          <w:b/>
          <w:color w:val="007087"/>
          <w:sz w:val="20"/>
          <w:szCs w:val="22"/>
        </w:rPr>
        <w:t>Läti</w:t>
      </w:r>
    </w:p>
    <w:p w14:paraId="1C231F09" w14:textId="6CCF9993" w:rsidR="00BD5398" w:rsidRDefault="00BD5398" w:rsidP="0022344D">
      <w:r w:rsidRPr="00BD5398">
        <w:t xml:space="preserve">Päev-ette Eesti ja </w:t>
      </w:r>
      <w:r>
        <w:t>Läti</w:t>
      </w:r>
      <w:r w:rsidRPr="00BD5398">
        <w:t xml:space="preserve"> vaheline võimsusvoog oli </w:t>
      </w:r>
      <w:r w:rsidR="00850C67">
        <w:t>690</w:t>
      </w:r>
      <w:r w:rsidRPr="00BD5398">
        <w:t xml:space="preserve"> tunnil suunatud Eestis</w:t>
      </w:r>
      <w:r>
        <w:t>t Lätti</w:t>
      </w:r>
      <w:r w:rsidRPr="00BD5398">
        <w:t xml:space="preserve"> ja </w:t>
      </w:r>
      <w:r w:rsidR="00850C67">
        <w:t>kuuel</w:t>
      </w:r>
      <w:r w:rsidRPr="00BD5398">
        <w:t xml:space="preserve"> tunnil suunaga </w:t>
      </w:r>
      <w:r>
        <w:t>Lä</w:t>
      </w:r>
      <w:r w:rsidRPr="00BD5398">
        <w:t xml:space="preserve">tist </w:t>
      </w:r>
      <w:r>
        <w:t>Eestisse</w:t>
      </w:r>
      <w:r w:rsidRPr="00BD5398">
        <w:t xml:space="preserve"> (</w:t>
      </w:r>
      <w:r w:rsidR="00E77385">
        <w:t>jaanuaris</w:t>
      </w:r>
      <w:r w:rsidRPr="00BD5398">
        <w:t xml:space="preserve"> vastavalt 7</w:t>
      </w:r>
      <w:r>
        <w:t>2</w:t>
      </w:r>
      <w:r w:rsidR="00E77385">
        <w:t>5</w:t>
      </w:r>
      <w:r w:rsidRPr="00BD5398">
        <w:t xml:space="preserve"> ja </w:t>
      </w:r>
      <w:r w:rsidR="00E77385">
        <w:t>19</w:t>
      </w:r>
      <w:r w:rsidRPr="00BD5398">
        <w:t xml:space="preserve"> tunnil). Ülekande</w:t>
      </w:r>
      <w:r w:rsidR="001B0037">
        <w:softHyphen/>
      </w:r>
      <w:r w:rsidRPr="00BD5398">
        <w:t>võimsus suunal Eesti</w:t>
      </w:r>
      <w:r>
        <w:t>-Läti</w:t>
      </w:r>
      <w:r w:rsidRPr="00BD5398">
        <w:t xml:space="preserve"> oli maksimaalses ulatuses koor</w:t>
      </w:r>
      <w:r w:rsidR="001B0037">
        <w:softHyphen/>
      </w:r>
      <w:r w:rsidRPr="00BD5398">
        <w:t xml:space="preserve">matud </w:t>
      </w:r>
      <w:r w:rsidR="00850C67">
        <w:t>203</w:t>
      </w:r>
      <w:r w:rsidRPr="00BD5398">
        <w:t xml:space="preserve"> tunnil</w:t>
      </w:r>
      <w:r w:rsidR="00915E3B">
        <w:t xml:space="preserve"> e</w:t>
      </w:r>
      <w:r w:rsidR="00850C67">
        <w:t>hk</w:t>
      </w:r>
      <w:r w:rsidR="00915E3B">
        <w:t xml:space="preserve"> </w:t>
      </w:r>
      <w:r w:rsidR="00850C67">
        <w:t>2</w:t>
      </w:r>
      <w:r w:rsidR="00915E3B">
        <w:t>9</w:t>
      </w:r>
      <w:r w:rsidR="00850C67">
        <w:t>,2</w:t>
      </w:r>
      <w:r w:rsidR="00915E3B">
        <w:t>% tundidest</w:t>
      </w:r>
      <w:r w:rsidRPr="00BD5398">
        <w:t xml:space="preserve"> (</w:t>
      </w:r>
      <w:r w:rsidR="00850C67">
        <w:t xml:space="preserve">jaanuaris </w:t>
      </w:r>
      <w:r>
        <w:t>5</w:t>
      </w:r>
      <w:r w:rsidR="00850C67">
        <w:t>65</w:t>
      </w:r>
      <w:r w:rsidRPr="00BD5398">
        <w:t xml:space="preserve"> tunnil</w:t>
      </w:r>
      <w:r w:rsidR="00915E3B">
        <w:t xml:space="preserve"> e</w:t>
      </w:r>
      <w:r w:rsidR="002837F2">
        <w:t>hk</w:t>
      </w:r>
      <w:r w:rsidR="00915E3B">
        <w:t xml:space="preserve"> </w:t>
      </w:r>
      <w:r w:rsidR="00850C67">
        <w:t>75,9</w:t>
      </w:r>
      <w:r w:rsidR="00915E3B">
        <w:t>%</w:t>
      </w:r>
      <w:r w:rsidRPr="00BD5398">
        <w:t>)</w:t>
      </w:r>
      <w:r>
        <w:t xml:space="preserve">, kusjuures kuu kokkuvõttes kasutati ära </w:t>
      </w:r>
      <w:r w:rsidR="00850C67">
        <w:t>79,2</w:t>
      </w:r>
      <w:r>
        <w:t>% turu</w:t>
      </w:r>
      <w:r w:rsidR="00850C67">
        <w:t>le</w:t>
      </w:r>
      <w:r>
        <w:t xml:space="preserve"> antud </w:t>
      </w:r>
      <w:r w:rsidR="00850C67">
        <w:t xml:space="preserve">Eesti-Läti </w:t>
      </w:r>
      <w:r>
        <w:t>võimsusest</w:t>
      </w:r>
      <w:r w:rsidR="00915E3B">
        <w:t xml:space="preserve"> (</w:t>
      </w:r>
      <w:r w:rsidR="00850C67">
        <w:t>jaanua</w:t>
      </w:r>
      <w:r w:rsidR="00915E3B">
        <w:t xml:space="preserve">ris </w:t>
      </w:r>
      <w:r w:rsidR="00850C67">
        <w:t>88</w:t>
      </w:r>
      <w:r w:rsidR="00915E3B">
        <w:t>,8%)</w:t>
      </w:r>
      <w:r>
        <w:t>.</w:t>
      </w:r>
      <w:r w:rsidRPr="00BD5398">
        <w:t xml:space="preserve"> </w:t>
      </w:r>
      <w:r>
        <w:t>Lä</w:t>
      </w:r>
      <w:r w:rsidRPr="00BD5398">
        <w:t>ti-</w:t>
      </w:r>
      <w:r>
        <w:t>Eesti</w:t>
      </w:r>
      <w:r w:rsidRPr="00BD5398">
        <w:t xml:space="preserve"> </w:t>
      </w:r>
      <w:r w:rsidR="00850C67">
        <w:t xml:space="preserve">suunal </w:t>
      </w:r>
      <w:r>
        <w:t>ülekandevõimsuse puudujääki</w:t>
      </w:r>
      <w:r w:rsidR="00850C67">
        <w:t xml:space="preserve"> ei esinenud.</w:t>
      </w:r>
    </w:p>
    <w:p w14:paraId="336CE535" w14:textId="77777777" w:rsidR="00850C67" w:rsidRDefault="00850C67" w:rsidP="0022344D"/>
    <w:p w14:paraId="110C72C8" w14:textId="5EFF19D8" w:rsidR="00BD29B2" w:rsidRDefault="00BD29B2" w:rsidP="0022344D">
      <w:r w:rsidRPr="00BD29B2">
        <w:t xml:space="preserve">Päevasisese kauplemise (ELBAS) tulemusena vähenes võimsuse puudujääk suunal Eestist Lätti </w:t>
      </w:r>
      <w:r w:rsidR="00850C67">
        <w:t>150</w:t>
      </w:r>
      <w:r w:rsidRPr="00BD29B2">
        <w:t xml:space="preserve"> tunnini ehk </w:t>
      </w:r>
      <w:r w:rsidR="00850C67">
        <w:t>21,6</w:t>
      </w:r>
      <w:r w:rsidRPr="00BD29B2">
        <w:t>% ajast (</w:t>
      </w:r>
      <w:r w:rsidR="00850C67">
        <w:t>jaanuaris</w:t>
      </w:r>
      <w:r>
        <w:t xml:space="preserve"> </w:t>
      </w:r>
      <w:r w:rsidR="00850C67">
        <w:t>351</w:t>
      </w:r>
      <w:r w:rsidR="00915E3B">
        <w:t xml:space="preserve"> tundi ja </w:t>
      </w:r>
      <w:r w:rsidR="00850C67">
        <w:t>47,2</w:t>
      </w:r>
      <w:r w:rsidRPr="00BD29B2">
        <w:t>%). Ülekandevõim</w:t>
      </w:r>
      <w:r w:rsidR="001B0037">
        <w:softHyphen/>
      </w:r>
      <w:r w:rsidRPr="00BD29B2">
        <w:t xml:space="preserve">suse puudujääki </w:t>
      </w:r>
      <w:r>
        <w:t>normaalrežii</w:t>
      </w:r>
      <w:r w:rsidRPr="00BD29B2">
        <w:t>mil ehk ajal, mil ühend</w:t>
      </w:r>
      <w:r w:rsidR="001B0037">
        <w:softHyphen/>
      </w:r>
      <w:r w:rsidRPr="00BD29B2">
        <w:t>elektrisüsteemis ei toimunud hooldus- või remonttöid</w:t>
      </w:r>
      <w:r>
        <w:t>,</w:t>
      </w:r>
      <w:r w:rsidRPr="00BD29B2">
        <w:t xml:space="preserve"> </w:t>
      </w:r>
      <w:r w:rsidR="00850C67">
        <w:t>oli veebruaris 29 tunnil (</w:t>
      </w:r>
      <w:r w:rsidR="00915E3B">
        <w:t xml:space="preserve">jaanuaris </w:t>
      </w:r>
      <w:r w:rsidR="00850C67">
        <w:t>normaalrežiimil ülekande</w:t>
      </w:r>
      <w:r w:rsidR="001B0037">
        <w:softHyphen/>
      </w:r>
      <w:r w:rsidR="00850C67">
        <w:t>võimsuse puudujääki ei esinenud).</w:t>
      </w:r>
    </w:p>
    <w:p w14:paraId="322089F0" w14:textId="77777777" w:rsidR="00B82C56" w:rsidRDefault="00B82C56" w:rsidP="0022344D"/>
    <w:p w14:paraId="298AD689" w14:textId="07657E40" w:rsidR="00BD29B2" w:rsidRDefault="00850C67" w:rsidP="00BA7A51">
      <w:pPr>
        <w:spacing w:after="40"/>
      </w:pPr>
      <w:r>
        <w:rPr>
          <w:noProof/>
        </w:rPr>
        <w:drawing>
          <wp:inline distT="0" distB="0" distL="0" distR="0" wp14:anchorId="5BA9233B" wp14:editId="4485AFB2">
            <wp:extent cx="2970530" cy="17811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1F4F" w14:textId="7F3487EC" w:rsidR="00BD29B2" w:rsidRDefault="00BD29B2" w:rsidP="0022344D">
      <w:r>
        <w:rPr>
          <w:rStyle w:val="SubtleEmphasis"/>
        </w:rPr>
        <w:t>N</w:t>
      </w:r>
      <w:r w:rsidR="00D368B6">
        <w:rPr>
          <w:rStyle w:val="SubtleEmphasis"/>
        </w:rPr>
        <w:t xml:space="preserve">ord </w:t>
      </w:r>
      <w:r>
        <w:rPr>
          <w:rStyle w:val="SubtleEmphasis"/>
        </w:rPr>
        <w:t>P</w:t>
      </w:r>
      <w:r w:rsidR="00D368B6">
        <w:rPr>
          <w:rStyle w:val="SubtleEmphasis"/>
        </w:rPr>
        <w:t>ool</w:t>
      </w:r>
      <w:r>
        <w:rPr>
          <w:rStyle w:val="SubtleEmphasis"/>
        </w:rPr>
        <w:t xml:space="preserve"> Eesti ja Läti vahelised võimsusvood 201</w:t>
      </w:r>
      <w:r w:rsidR="00D368B6">
        <w:rPr>
          <w:rStyle w:val="SubtleEmphasis"/>
        </w:rPr>
        <w:t>6</w:t>
      </w:r>
      <w:r>
        <w:rPr>
          <w:rStyle w:val="SubtleEmphasis"/>
        </w:rPr>
        <w:t xml:space="preserve">. a </w:t>
      </w:r>
      <w:r w:rsidR="00850C67">
        <w:rPr>
          <w:rStyle w:val="SubtleEmphasis"/>
        </w:rPr>
        <w:t>veebr</w:t>
      </w:r>
      <w:r w:rsidR="00D368B6">
        <w:rPr>
          <w:rStyle w:val="SubtleEmphasis"/>
        </w:rPr>
        <w:t>uaris</w:t>
      </w:r>
    </w:p>
    <w:p w14:paraId="329EF5DD" w14:textId="77777777" w:rsidR="00BD29B2" w:rsidRDefault="00BD29B2" w:rsidP="0022344D"/>
    <w:p w14:paraId="174AE2CC" w14:textId="56B9B46D" w:rsidR="00BD29B2" w:rsidRDefault="00BD29B2" w:rsidP="0022344D">
      <w:r w:rsidRPr="00BD29B2">
        <w:t>Päev-ette võimsuste jaotamisest saadav tulu Eesti ja Läti ristlõikel, mis jag</w:t>
      </w:r>
      <w:r>
        <w:t>uneb võrdsetes osades põhivõrgu</w:t>
      </w:r>
      <w:r w:rsidRPr="00BD29B2">
        <w:t>ette</w:t>
      </w:r>
      <w:r w:rsidR="001B0037">
        <w:softHyphen/>
      </w:r>
      <w:r w:rsidRPr="00BD29B2">
        <w:t xml:space="preserve">võtete </w:t>
      </w:r>
      <w:proofErr w:type="spellStart"/>
      <w:r w:rsidRPr="00BD29B2">
        <w:t>Elering</w:t>
      </w:r>
      <w:proofErr w:type="spellEnd"/>
      <w:r w:rsidRPr="00BD29B2">
        <w:t xml:space="preserve"> ja </w:t>
      </w:r>
      <w:proofErr w:type="spellStart"/>
      <w:r w:rsidRPr="00BD29B2">
        <w:t>Augstsprieguma</w:t>
      </w:r>
      <w:proofErr w:type="spellEnd"/>
      <w:r w:rsidRPr="00BD29B2">
        <w:t xml:space="preserve"> </w:t>
      </w:r>
      <w:proofErr w:type="spellStart"/>
      <w:r w:rsidRPr="00BD29B2">
        <w:t>tīkls</w:t>
      </w:r>
      <w:proofErr w:type="spellEnd"/>
      <w:r w:rsidRPr="00BD29B2">
        <w:t xml:space="preserve"> vahel, oli </w:t>
      </w:r>
      <w:r w:rsidR="00850C67">
        <w:t xml:space="preserve">veebruaris 0,81 mln </w:t>
      </w:r>
      <w:r w:rsidRPr="00BD29B2">
        <w:t>miljonit eurot (</w:t>
      </w:r>
      <w:r w:rsidR="00850C67">
        <w:t>jaanuaris</w:t>
      </w:r>
      <w:r w:rsidR="00850C67" w:rsidRPr="00BD29B2">
        <w:t xml:space="preserve"> </w:t>
      </w:r>
      <w:r w:rsidR="00850C67">
        <w:t>6,1</w:t>
      </w:r>
      <w:r w:rsidR="00850C67" w:rsidRPr="00BD29B2">
        <w:t xml:space="preserve"> </w:t>
      </w:r>
      <w:r w:rsidRPr="00BD29B2">
        <w:t xml:space="preserve"> miljonit eurot). </w:t>
      </w:r>
      <w:r w:rsidR="00850C67">
        <w:t>Veebruaris</w:t>
      </w:r>
      <w:r w:rsidRPr="00BD29B2">
        <w:t xml:space="preserve"> Eesti ja Läti piiriüleste ühenduste ülekoormu</w:t>
      </w:r>
      <w:r w:rsidR="00354CE0">
        <w:softHyphen/>
      </w:r>
      <w:r w:rsidRPr="00BD29B2">
        <w:t xml:space="preserve">se vältimiseks </w:t>
      </w:r>
      <w:proofErr w:type="spellStart"/>
      <w:r w:rsidRPr="00BD29B2">
        <w:t>vastukaubandust</w:t>
      </w:r>
      <w:r w:rsidR="00D368B6">
        <w:t>ehinguid</w:t>
      </w:r>
      <w:proofErr w:type="spellEnd"/>
      <w:r>
        <w:t xml:space="preserve"> </w:t>
      </w:r>
      <w:r w:rsidR="00850C67">
        <w:t>ei tehtud</w:t>
      </w:r>
      <w:r w:rsidR="004E5CE0">
        <w:t xml:space="preserve"> (</w:t>
      </w:r>
      <w:r w:rsidR="00D368B6">
        <w:t xml:space="preserve">nagu ka </w:t>
      </w:r>
      <w:r w:rsidR="00850C67">
        <w:t>jaanuaris</w:t>
      </w:r>
      <w:r w:rsidR="004E5CE0">
        <w:t>)</w:t>
      </w:r>
      <w:r w:rsidRPr="00BD29B2">
        <w:t>.</w:t>
      </w:r>
    </w:p>
    <w:p w14:paraId="2EEB78D6" w14:textId="77777777" w:rsidR="00BD29B2" w:rsidRDefault="00BD29B2" w:rsidP="0022344D"/>
    <w:p w14:paraId="1A878395" w14:textId="0F284C29" w:rsidR="00BD29B2" w:rsidRDefault="00A959BF" w:rsidP="00BA7A51">
      <w:pPr>
        <w:spacing w:after="40"/>
      </w:pPr>
      <w:r>
        <w:rPr>
          <w:noProof/>
        </w:rPr>
        <w:drawing>
          <wp:inline distT="0" distB="0" distL="0" distR="0" wp14:anchorId="5142B2F4" wp14:editId="79E2DC3F">
            <wp:extent cx="2966085" cy="1781175"/>
            <wp:effectExtent l="0" t="0" r="571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53CB6D7E" w:rsidR="00BD29B2" w:rsidRDefault="00BD29B2" w:rsidP="0022344D">
      <w:r>
        <w:rPr>
          <w:rStyle w:val="SubtleEmphasis"/>
        </w:rPr>
        <w:t xml:space="preserve">Ülekandevõimsuse tulu Eesti-Läti piiril </w:t>
      </w:r>
      <w:r w:rsidR="004C5135">
        <w:rPr>
          <w:rStyle w:val="SubtleEmphasis"/>
        </w:rPr>
        <w:t>jooksval</w:t>
      </w:r>
      <w:r>
        <w:rPr>
          <w:rStyle w:val="SubtleEmphasis"/>
        </w:rPr>
        <w:t xml:space="preserve"> aastal</w:t>
      </w:r>
    </w:p>
    <w:p w14:paraId="2B935A81" w14:textId="77777777" w:rsidR="00BD29B2" w:rsidRDefault="00BD29B2" w:rsidP="0022344D"/>
    <w:p w14:paraId="4F03D7C9" w14:textId="77777777" w:rsidR="00BD29B2" w:rsidRDefault="00BD29B2" w:rsidP="0022344D"/>
    <w:p w14:paraId="7429FB7B" w14:textId="7956EB6E" w:rsidR="00BD29B2" w:rsidRDefault="00BD29B2" w:rsidP="00BD29B2">
      <w:pPr>
        <w:pStyle w:val="Heading2"/>
      </w:pPr>
      <w:r>
        <w:t>N</w:t>
      </w:r>
      <w:r w:rsidR="004C5135">
        <w:t xml:space="preserve">ord </w:t>
      </w:r>
      <w:r>
        <w:t>P</w:t>
      </w:r>
      <w:r w:rsidR="004C5135">
        <w:t>ool börsi</w:t>
      </w:r>
      <w:r>
        <w:t xml:space="preserve"> kogused</w:t>
      </w:r>
    </w:p>
    <w:p w14:paraId="2455A537" w14:textId="4DF6804D" w:rsidR="00BD29B2" w:rsidRDefault="002837F2" w:rsidP="0022344D">
      <w:r>
        <w:t>Veebruaris</w:t>
      </w:r>
      <w:r w:rsidR="004E5CE0" w:rsidRPr="004E5CE0">
        <w:t xml:space="preserve"> osteti N</w:t>
      </w:r>
      <w:r w:rsidR="00116BA4">
        <w:t xml:space="preserve">ord </w:t>
      </w:r>
      <w:r w:rsidR="004E5CE0" w:rsidRPr="004E5CE0">
        <w:t>P</w:t>
      </w:r>
      <w:r w:rsidR="00116BA4">
        <w:t>ool</w:t>
      </w:r>
      <w:r w:rsidR="004E5CE0" w:rsidRPr="004E5CE0">
        <w:t xml:space="preserve"> Eesti hinnapiirkonnas päev-ette turul </w:t>
      </w:r>
      <w:r>
        <w:t>682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 xml:space="preserve"> elektrit (</w:t>
      </w:r>
      <w:r>
        <w:t>jaanuaris</w:t>
      </w:r>
      <w:r w:rsidR="004E5CE0" w:rsidRPr="004E5CE0">
        <w:t xml:space="preserve"> </w:t>
      </w:r>
      <w:r>
        <w:t>818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 xml:space="preserve">) ja müüdi </w:t>
      </w:r>
      <w:r>
        <w:t>666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 xml:space="preserve"> elektrit (</w:t>
      </w:r>
      <w:r>
        <w:t>jaanuaris</w:t>
      </w:r>
      <w:r w:rsidRPr="004E5CE0">
        <w:t xml:space="preserve"> </w:t>
      </w:r>
      <w:r>
        <w:t>996</w:t>
      </w:r>
      <w:r w:rsidR="004E5CE0" w:rsidRPr="004E5CE0">
        <w:t xml:space="preserve"> </w:t>
      </w:r>
      <w:proofErr w:type="spellStart"/>
      <w:r w:rsidR="004E5CE0" w:rsidRPr="004E5CE0">
        <w:t>GWh</w:t>
      </w:r>
      <w:proofErr w:type="spellEnd"/>
      <w:r w:rsidR="004E5CE0" w:rsidRPr="004E5CE0">
        <w:t>).</w:t>
      </w:r>
    </w:p>
    <w:p w14:paraId="04AFF6FE" w14:textId="77777777" w:rsidR="00BD29B2" w:rsidRDefault="00BD29B2" w:rsidP="0022344D"/>
    <w:p w14:paraId="37497BC7" w14:textId="28F187F0" w:rsidR="004E5CE0" w:rsidRDefault="002837F2" w:rsidP="0022344D">
      <w:r>
        <w:rPr>
          <w:noProof/>
        </w:rPr>
        <w:drawing>
          <wp:inline distT="0" distB="0" distL="0" distR="0" wp14:anchorId="7D52BC8F" wp14:editId="0691F85C">
            <wp:extent cx="2966085" cy="1781175"/>
            <wp:effectExtent l="0" t="0" r="571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53A4" w14:textId="26742BF6" w:rsidR="004E5CE0" w:rsidRDefault="004E5CE0" w:rsidP="0022344D">
      <w:r w:rsidRPr="004E5CE0">
        <w:rPr>
          <w:rStyle w:val="SubtleEmphasis"/>
        </w:rPr>
        <w:lastRenderedPageBreak/>
        <w:t xml:space="preserve">NP </w:t>
      </w:r>
      <w:proofErr w:type="spellStart"/>
      <w:r w:rsidRPr="004E5CE0">
        <w:rPr>
          <w:rStyle w:val="SubtleEmphasis"/>
        </w:rPr>
        <w:t>Elspot</w:t>
      </w:r>
      <w:proofErr w:type="spellEnd"/>
      <w:r w:rsidRPr="004E5CE0">
        <w:rPr>
          <w:rStyle w:val="SubtleEmphasis"/>
        </w:rPr>
        <w:t xml:space="preserve"> Eesti hinnapiirkonnas ostetud ja müüdud kogused</w:t>
      </w:r>
      <w:r w:rsidR="00FD1EAF">
        <w:rPr>
          <w:rStyle w:val="SubtleEmphasis"/>
        </w:rPr>
        <w:t xml:space="preserve"> jooksval</w:t>
      </w:r>
      <w:r w:rsidRPr="004E5CE0">
        <w:rPr>
          <w:rStyle w:val="SubtleEmphasis"/>
        </w:rPr>
        <w:t xml:space="preserve"> aastal</w:t>
      </w:r>
    </w:p>
    <w:p w14:paraId="3B7B85F5" w14:textId="77777777" w:rsidR="004E5CE0" w:rsidRDefault="004E5CE0" w:rsidP="0022344D"/>
    <w:p w14:paraId="0CCED782" w14:textId="045BF7D6" w:rsidR="004E5CE0" w:rsidRDefault="000B753D" w:rsidP="0022344D">
      <w:r w:rsidRPr="000B753D">
        <w:t xml:space="preserve">NP </w:t>
      </w:r>
      <w:proofErr w:type="spellStart"/>
      <w:r w:rsidRPr="000B753D">
        <w:t>Elspot</w:t>
      </w:r>
      <w:proofErr w:type="spellEnd"/>
      <w:r w:rsidRPr="000B753D">
        <w:t xml:space="preserve"> tehingute alusel eksporditi Eestist Soome </w:t>
      </w:r>
      <w:r w:rsidR="00FD1EAF">
        <w:t>4</w:t>
      </w:r>
      <w:r w:rsidRPr="000B753D">
        <w:t xml:space="preserve"> </w:t>
      </w:r>
      <w:proofErr w:type="spellStart"/>
      <w:r w:rsidRPr="000B753D">
        <w:t>GWh</w:t>
      </w:r>
      <w:proofErr w:type="spellEnd"/>
      <w:r w:rsidR="00FD1EAF">
        <w:t xml:space="preserve"> ja </w:t>
      </w:r>
      <w:r w:rsidR="00FD1EAF" w:rsidRPr="000B753D">
        <w:t xml:space="preserve">imporditi </w:t>
      </w:r>
      <w:r w:rsidRPr="000B753D">
        <w:t xml:space="preserve">Soomest Eestisse </w:t>
      </w:r>
      <w:r w:rsidR="002837F2">
        <w:t>509,5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elektrit</w:t>
      </w:r>
      <w:r w:rsidR="00FD1EAF">
        <w:t xml:space="preserve"> (</w:t>
      </w:r>
      <w:r w:rsidR="002153CA">
        <w:t>jaanua</w:t>
      </w:r>
      <w:r w:rsidR="002153CA">
        <w:softHyphen/>
      </w:r>
      <w:r>
        <w:t>ris</w:t>
      </w:r>
      <w:r w:rsidRPr="000B753D">
        <w:t xml:space="preserve"> </w:t>
      </w:r>
      <w:r w:rsidR="00FD1EAF">
        <w:t xml:space="preserve">vastavalt </w:t>
      </w:r>
      <w:r w:rsidR="002837F2">
        <w:t>49,7</w:t>
      </w:r>
      <w:r w:rsidR="00FD1EAF">
        <w:t xml:space="preserve"> </w:t>
      </w:r>
      <w:proofErr w:type="spellStart"/>
      <w:r w:rsidR="00FD1EAF">
        <w:t>GWh</w:t>
      </w:r>
      <w:proofErr w:type="spellEnd"/>
      <w:r w:rsidR="00FD1EAF">
        <w:t xml:space="preserve"> ja </w:t>
      </w:r>
      <w:r w:rsidR="002837F2">
        <w:t>302,4</w:t>
      </w:r>
      <w:r w:rsidR="00FD1EAF">
        <w:t xml:space="preserve"> </w:t>
      </w:r>
      <w:proofErr w:type="spellStart"/>
      <w:r w:rsidR="00FD1EAF">
        <w:t>GWh</w:t>
      </w:r>
      <w:proofErr w:type="spellEnd"/>
      <w:r w:rsidR="00FD1EAF">
        <w:t xml:space="preserve">). </w:t>
      </w:r>
      <w:r w:rsidRPr="000B753D">
        <w:t xml:space="preserve">Päev-ette </w:t>
      </w:r>
      <w:r w:rsidR="00FD1EAF">
        <w:t>kauban</w:t>
      </w:r>
      <w:r w:rsidR="00E80CC6">
        <w:softHyphen/>
      </w:r>
      <w:r w:rsidR="00FD1EAF">
        <w:t xml:space="preserve">duslik </w:t>
      </w:r>
      <w:r w:rsidRPr="000B753D">
        <w:t xml:space="preserve">eksport Lätti oli </w:t>
      </w:r>
      <w:r w:rsidR="00D84802">
        <w:t>490,3</w:t>
      </w:r>
      <w:r w:rsidR="009016FE">
        <w:t xml:space="preserve"> </w:t>
      </w:r>
      <w:proofErr w:type="spellStart"/>
      <w:r w:rsidR="009016FE">
        <w:t>GWh</w:t>
      </w:r>
      <w:proofErr w:type="spellEnd"/>
      <w:r w:rsidR="009016FE">
        <w:t xml:space="preserve"> ja</w:t>
      </w:r>
      <w:r w:rsidRPr="000B753D">
        <w:t xml:space="preserve"> </w:t>
      </w:r>
      <w:r w:rsidR="009016FE">
        <w:t xml:space="preserve">import </w:t>
      </w:r>
      <w:r w:rsidRPr="000B753D">
        <w:t xml:space="preserve">Lätist </w:t>
      </w:r>
      <w:r w:rsidR="00D84802">
        <w:t>0,7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 w:rsidR="00D84802">
        <w:t>jaanuaris</w:t>
      </w:r>
      <w:r w:rsidR="00D84802" w:rsidRPr="000B753D">
        <w:t xml:space="preserve"> </w:t>
      </w:r>
      <w:r w:rsidR="009016FE">
        <w:t>vastavalt 4</w:t>
      </w:r>
      <w:r w:rsidR="00D84802">
        <w:t>34</w:t>
      </w:r>
      <w:r w:rsidR="009016FE" w:rsidRPr="000B753D">
        <w:t xml:space="preserve"> </w:t>
      </w:r>
      <w:proofErr w:type="spellStart"/>
      <w:r w:rsidR="009016FE" w:rsidRPr="000B753D">
        <w:t>GWh</w:t>
      </w:r>
      <w:proofErr w:type="spellEnd"/>
      <w:r w:rsidR="009016FE">
        <w:t xml:space="preserve"> ja </w:t>
      </w:r>
      <w:r w:rsidR="00D84802">
        <w:t>3,7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762E3EFC" w14:textId="77777777" w:rsidR="004E5CE0" w:rsidRDefault="004E5CE0" w:rsidP="0022344D"/>
    <w:p w14:paraId="6733428E" w14:textId="69903ED6" w:rsidR="004E5CE0" w:rsidRDefault="002837F2" w:rsidP="00BA7A51">
      <w:pPr>
        <w:spacing w:after="40"/>
      </w:pPr>
      <w:r>
        <w:rPr>
          <w:noProof/>
        </w:rPr>
        <w:drawing>
          <wp:inline distT="0" distB="0" distL="0" distR="0" wp14:anchorId="395FCD07" wp14:editId="10856C16">
            <wp:extent cx="2966085" cy="1781175"/>
            <wp:effectExtent l="0" t="0" r="571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28EA" w14:textId="1478F8F5" w:rsidR="004E5CE0" w:rsidRDefault="000B753D" w:rsidP="0022344D">
      <w:r w:rsidRPr="000B753D">
        <w:rPr>
          <w:rStyle w:val="SubtleEmphasis"/>
        </w:rPr>
        <w:t xml:space="preserve">NP Eesti hinnapiirkonna </w:t>
      </w:r>
      <w:proofErr w:type="spellStart"/>
      <w:r w:rsidRPr="000B753D">
        <w:rPr>
          <w:rStyle w:val="SubtleEmphasis"/>
        </w:rPr>
        <w:t>Elspot</w:t>
      </w:r>
      <w:proofErr w:type="spellEnd"/>
      <w:r w:rsidRPr="000B753D">
        <w:rPr>
          <w:rStyle w:val="SubtleEmphasis"/>
        </w:rPr>
        <w:t xml:space="preserve"> turu import Soomest ja eksport Lätti </w:t>
      </w:r>
      <w:r w:rsidR="009016FE">
        <w:rPr>
          <w:rStyle w:val="SubtleEmphasis"/>
        </w:rPr>
        <w:t>jooksval</w:t>
      </w:r>
      <w:r w:rsidRPr="000B753D">
        <w:rPr>
          <w:rStyle w:val="SubtleEmphasis"/>
        </w:rPr>
        <w:t xml:space="preserve"> aastal</w:t>
      </w:r>
    </w:p>
    <w:p w14:paraId="0CEB6FC9" w14:textId="77777777" w:rsidR="000B753D" w:rsidRDefault="000B753D" w:rsidP="0022344D"/>
    <w:p w14:paraId="3F2C18E8" w14:textId="573F7ECB" w:rsidR="000B753D" w:rsidRDefault="000B753D" w:rsidP="0022344D">
      <w:r w:rsidRPr="000B753D">
        <w:t xml:space="preserve">Eesti turuosalised ostsid </w:t>
      </w:r>
      <w:r w:rsidR="002904FB">
        <w:t>jaanuaris</w:t>
      </w:r>
      <w:r w:rsidR="002904FB" w:rsidRPr="000B753D">
        <w:t xml:space="preserve"> </w:t>
      </w:r>
      <w:r w:rsidRPr="000B753D">
        <w:t xml:space="preserve">siseriikliku tarbimise </w:t>
      </w:r>
      <w:r w:rsidR="00A16CE2">
        <w:t>(</w:t>
      </w:r>
      <w:r w:rsidR="009E4502">
        <w:t>746</w:t>
      </w:r>
      <w:r w:rsidR="00A16CE2">
        <w:t xml:space="preserve"> </w:t>
      </w:r>
      <w:proofErr w:type="spellStart"/>
      <w:r w:rsidR="00A16CE2">
        <w:t>GWh</w:t>
      </w:r>
      <w:proofErr w:type="spellEnd"/>
      <w:r w:rsidR="00A16CE2">
        <w:t xml:space="preserve">) </w:t>
      </w:r>
      <w:r w:rsidRPr="000B753D">
        <w:t>katteks elektrienergiat kokku päev-ette (</w:t>
      </w:r>
      <w:proofErr w:type="spellStart"/>
      <w:r w:rsidRPr="000B753D">
        <w:t>El</w:t>
      </w:r>
      <w:r w:rsidR="00E80CC6">
        <w:softHyphen/>
      </w:r>
      <w:r w:rsidRPr="000B753D">
        <w:t>spot</w:t>
      </w:r>
      <w:proofErr w:type="spellEnd"/>
      <w:r w:rsidRPr="000B753D">
        <w:t xml:space="preserve">) ja päevasiseselt (Elbas) turult </w:t>
      </w:r>
      <w:r w:rsidR="00A16CE2">
        <w:t>92</w:t>
      </w:r>
      <w:r w:rsidRPr="000B753D">
        <w:t xml:space="preserve">% ulatuses ehk </w:t>
      </w:r>
      <w:r w:rsidR="009E4502">
        <w:t>688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 w:rsidR="009E4502">
        <w:t>jaanuaris samuti</w:t>
      </w:r>
      <w:r w:rsidRPr="000B753D">
        <w:t xml:space="preserve"> </w:t>
      </w:r>
      <w:r w:rsidR="00826746">
        <w:t>9</w:t>
      </w:r>
      <w:r w:rsidR="009E4502">
        <w:t>2</w:t>
      </w:r>
      <w:r w:rsidRPr="000B753D">
        <w:t xml:space="preserve">% ehk </w:t>
      </w:r>
      <w:r w:rsidR="009E4502">
        <w:t>834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). Eestis toodetud </w:t>
      </w:r>
      <w:r w:rsidR="009E4502">
        <w:t>742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elektrienergiast müüdi päev-ette ja päeva</w:t>
      </w:r>
      <w:r w:rsidR="002904FB">
        <w:softHyphen/>
      </w:r>
      <w:r w:rsidRPr="000B753D">
        <w:t xml:space="preserve">sisesel turul </w:t>
      </w:r>
      <w:r w:rsidR="00A16CE2">
        <w:t>9</w:t>
      </w:r>
      <w:r w:rsidR="009E4502">
        <w:t>0</w:t>
      </w:r>
      <w:r w:rsidRPr="000B753D">
        <w:t xml:space="preserve">% ehk </w:t>
      </w:r>
      <w:r w:rsidR="009E4502">
        <w:t>670,6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(</w:t>
      </w:r>
      <w:r w:rsidR="004A4D97">
        <w:t>dets</w:t>
      </w:r>
      <w:r>
        <w:t>embris</w:t>
      </w:r>
      <w:r w:rsidRPr="000B753D">
        <w:t xml:space="preserve"> </w:t>
      </w:r>
      <w:r w:rsidR="009E4502">
        <w:t>92</w:t>
      </w:r>
      <w:r w:rsidRPr="000B753D">
        <w:t xml:space="preserve">% ehk </w:t>
      </w:r>
      <w:r w:rsidR="009E4502">
        <w:t>1005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0206129C" w14:textId="77777777" w:rsidR="000B753D" w:rsidRDefault="000B753D" w:rsidP="0022344D"/>
    <w:p w14:paraId="3E04942F" w14:textId="4F5B8FA4" w:rsidR="000B753D" w:rsidRDefault="002837F2" w:rsidP="00BA7A51">
      <w:pPr>
        <w:spacing w:after="40"/>
      </w:pPr>
      <w:r>
        <w:rPr>
          <w:noProof/>
        </w:rPr>
        <w:drawing>
          <wp:inline distT="0" distB="0" distL="0" distR="0" wp14:anchorId="30250523" wp14:editId="4683F505">
            <wp:extent cx="2966085" cy="1781175"/>
            <wp:effectExtent l="0" t="0" r="571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9AAE" w14:textId="64C91C30" w:rsidR="000B753D" w:rsidRDefault="000B753D" w:rsidP="0022344D">
      <w:r w:rsidRPr="000B753D">
        <w:rPr>
          <w:rStyle w:val="SubtleEmphasis"/>
        </w:rPr>
        <w:t xml:space="preserve">Elbas turul päevasiseselt kaubeldud kogused </w:t>
      </w:r>
      <w:r w:rsidR="004A4D97">
        <w:rPr>
          <w:rStyle w:val="SubtleEmphasis"/>
        </w:rPr>
        <w:t>jooksval</w:t>
      </w:r>
      <w:r w:rsidRPr="000B753D">
        <w:rPr>
          <w:rStyle w:val="SubtleEmphasis"/>
        </w:rPr>
        <w:t xml:space="preserve"> aastal</w:t>
      </w:r>
    </w:p>
    <w:p w14:paraId="61FBDA41" w14:textId="77777777" w:rsidR="000B753D" w:rsidRDefault="000B753D" w:rsidP="0022344D"/>
    <w:p w14:paraId="19C4608A" w14:textId="6CAA1A5C" w:rsidR="000B753D" w:rsidRDefault="000B753D" w:rsidP="0022344D">
      <w:r w:rsidRPr="000B753D">
        <w:t>NP Elbas turu Eesti hinnapiirkonna</w:t>
      </w:r>
      <w:r w:rsidR="004A4D97">
        <w:t xml:space="preserve"> ostu</w:t>
      </w:r>
      <w:r w:rsidR="000E31EA">
        <w:t>-</w:t>
      </w:r>
      <w:r w:rsidR="004A4D97">
        <w:t xml:space="preserve"> ja müügikoguse</w:t>
      </w:r>
      <w:r w:rsidR="000E31EA">
        <w:t>d</w:t>
      </w:r>
      <w:r w:rsidR="004A4D97">
        <w:t xml:space="preserve"> suurenesid </w:t>
      </w:r>
      <w:r w:rsidR="009E4502">
        <w:t xml:space="preserve">võrreldes </w:t>
      </w:r>
      <w:r w:rsidR="004A4D97">
        <w:t xml:space="preserve">eelmise kuuga </w:t>
      </w:r>
      <w:r w:rsidR="009E4502">
        <w:t xml:space="preserve">vähenesid </w:t>
      </w:r>
      <w:r w:rsidR="00E80CC6">
        <w:t>olulise</w:t>
      </w:r>
      <w:r w:rsidR="009E4502">
        <w:t>lt</w:t>
      </w:r>
      <w:r w:rsidR="004A4D97">
        <w:t>:</w:t>
      </w:r>
      <w:r w:rsidRPr="000B753D">
        <w:t xml:space="preserve"> osteti </w:t>
      </w:r>
      <w:r w:rsidR="009E4502">
        <w:t>6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ning müüdi </w:t>
      </w:r>
      <w:r w:rsidR="009E4502">
        <w:t>4,4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elektrienergiat (</w:t>
      </w:r>
      <w:r w:rsidR="009E4502">
        <w:t>jaanua</w:t>
      </w:r>
      <w:r w:rsidR="00E80CC6">
        <w:softHyphen/>
      </w:r>
      <w:r>
        <w:t>ris</w:t>
      </w:r>
      <w:r w:rsidRPr="000B753D">
        <w:t xml:space="preserve"> vastavalt </w:t>
      </w:r>
      <w:r w:rsidR="009E4502">
        <w:t>16,2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 xml:space="preserve"> ja </w:t>
      </w:r>
      <w:r w:rsidR="009E4502">
        <w:t>9,9</w:t>
      </w:r>
      <w:r w:rsidRPr="000B753D">
        <w:t xml:space="preserve"> </w:t>
      </w:r>
      <w:proofErr w:type="spellStart"/>
      <w:r w:rsidRPr="000B753D">
        <w:t>GWh</w:t>
      </w:r>
      <w:proofErr w:type="spellEnd"/>
      <w:r w:rsidRPr="000B753D">
        <w:t>).</w:t>
      </w:r>
    </w:p>
    <w:p w14:paraId="365CFF85" w14:textId="77777777" w:rsidR="000B753D" w:rsidRDefault="000B753D" w:rsidP="0022344D"/>
    <w:p w14:paraId="7E8ED61C" w14:textId="35C823A5" w:rsidR="000B753D" w:rsidRDefault="002837F2" w:rsidP="00BA7A51">
      <w:pPr>
        <w:spacing w:after="40"/>
      </w:pPr>
      <w:r>
        <w:rPr>
          <w:noProof/>
        </w:rPr>
        <w:drawing>
          <wp:inline distT="0" distB="0" distL="0" distR="0" wp14:anchorId="29584A9B" wp14:editId="2B5AC431">
            <wp:extent cx="2966085" cy="1781175"/>
            <wp:effectExtent l="0" t="0" r="571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FA57" w14:textId="3F4AEC77" w:rsidR="000B753D" w:rsidRDefault="000B753D" w:rsidP="0022344D">
      <w:r w:rsidRPr="000B753D">
        <w:rPr>
          <w:rStyle w:val="SubtleEmphasis"/>
        </w:rPr>
        <w:t>NP Eesti ja NP Läti hinnapiirkondades ostetud ja müüdud kog</w:t>
      </w:r>
      <w:r>
        <w:rPr>
          <w:rStyle w:val="SubtleEmphasis"/>
        </w:rPr>
        <w:t xml:space="preserve">uste käive </w:t>
      </w:r>
      <w:r w:rsidR="004A4D97">
        <w:rPr>
          <w:rStyle w:val="SubtleEmphasis"/>
        </w:rPr>
        <w:t>jooksval</w:t>
      </w:r>
      <w:r>
        <w:rPr>
          <w:rStyle w:val="SubtleEmphasis"/>
        </w:rPr>
        <w:t xml:space="preserve"> aastal</w:t>
      </w:r>
    </w:p>
    <w:p w14:paraId="7B68B358" w14:textId="77777777" w:rsidR="000B753D" w:rsidRDefault="000B753D" w:rsidP="0022344D"/>
    <w:p w14:paraId="1DB842F6" w14:textId="387971D7" w:rsidR="000B753D" w:rsidRDefault="000B753D" w:rsidP="0022344D">
      <w:r w:rsidRPr="000B753D">
        <w:t xml:space="preserve">NP Eesti hinnapiirkonnas päev-ette ostetud koguste käive oli </w:t>
      </w:r>
      <w:r w:rsidR="004A4D97">
        <w:t>jaanuaris</w:t>
      </w:r>
      <w:r w:rsidRPr="000B753D">
        <w:t xml:space="preserve"> </w:t>
      </w:r>
      <w:r w:rsidR="009E4502">
        <w:t>20 m</w:t>
      </w:r>
      <w:r w:rsidRPr="000B753D">
        <w:t xml:space="preserve">ln eurot ja NP Läti piirkonnas </w:t>
      </w:r>
      <w:r w:rsidR="009E4502">
        <w:t>19,4</w:t>
      </w:r>
      <w:r w:rsidRPr="000B753D">
        <w:t xml:space="preserve"> </w:t>
      </w:r>
      <w:r w:rsidR="009E4502">
        <w:t xml:space="preserve">mln </w:t>
      </w:r>
      <w:r w:rsidRPr="000B753D">
        <w:t>eurot (</w:t>
      </w:r>
      <w:r w:rsidR="009E4502">
        <w:t>jaanuaris</w:t>
      </w:r>
      <w:r w:rsidR="009E4502" w:rsidRPr="000B753D">
        <w:t xml:space="preserve"> </w:t>
      </w:r>
      <w:r w:rsidRPr="000B753D">
        <w:t xml:space="preserve">vastavalt </w:t>
      </w:r>
      <w:r w:rsidR="009E4502">
        <w:t>33,1</w:t>
      </w:r>
      <w:r w:rsidRPr="000B753D">
        <w:t xml:space="preserve"> ja </w:t>
      </w:r>
      <w:r w:rsidR="009E4502">
        <w:t>39 m</w:t>
      </w:r>
      <w:r w:rsidRPr="000B753D">
        <w:t xml:space="preserve">ln eurot). Müüdud koguste käive oli Eesti hinnapiirkonnas </w:t>
      </w:r>
      <w:r w:rsidR="009E4502">
        <w:t>20,2</w:t>
      </w:r>
      <w:r w:rsidRPr="000B753D">
        <w:t xml:space="preserve"> </w:t>
      </w:r>
      <w:r w:rsidR="009E4502">
        <w:t>mln</w:t>
      </w:r>
      <w:r w:rsidRPr="000B753D">
        <w:t xml:space="preserve"> eurot ja Läti hinnapiirkonnas </w:t>
      </w:r>
      <w:r w:rsidR="009E4502">
        <w:t>14,6</w:t>
      </w:r>
      <w:r w:rsidRPr="000B753D">
        <w:t xml:space="preserve"> </w:t>
      </w:r>
      <w:r w:rsidR="009E4502">
        <w:t xml:space="preserve">mln </w:t>
      </w:r>
      <w:r w:rsidRPr="000B753D">
        <w:t>eurot (</w:t>
      </w:r>
      <w:r w:rsidR="009E4502">
        <w:t>jaanuaris</w:t>
      </w:r>
      <w:r w:rsidRPr="000B753D">
        <w:t xml:space="preserve"> vastavalt </w:t>
      </w:r>
      <w:r w:rsidR="009E4502">
        <w:t>43,1</w:t>
      </w:r>
      <w:r w:rsidR="004A4D97">
        <w:t xml:space="preserve"> </w:t>
      </w:r>
      <w:r w:rsidRPr="000B753D">
        <w:t xml:space="preserve">ja </w:t>
      </w:r>
      <w:r w:rsidR="009E4502">
        <w:t>37,7</w:t>
      </w:r>
      <w:r w:rsidRPr="000B753D">
        <w:t xml:space="preserve"> </w:t>
      </w:r>
      <w:r w:rsidR="009E4502">
        <w:t>mln</w:t>
      </w:r>
      <w:r w:rsidRPr="000B753D">
        <w:t xml:space="preserve"> eurot)</w:t>
      </w:r>
      <w:r w:rsidR="00A0454C">
        <w:t>.</w:t>
      </w:r>
    </w:p>
    <w:p w14:paraId="5F9322F2" w14:textId="77777777" w:rsidR="00A0454C" w:rsidRDefault="00A0454C" w:rsidP="0022344D"/>
    <w:p w14:paraId="52223411" w14:textId="1E75F8CC" w:rsidR="00A0454C" w:rsidRDefault="00A0454C" w:rsidP="00A0454C">
      <w:pPr>
        <w:pStyle w:val="Heading2"/>
      </w:pPr>
      <w:r>
        <w:t>Tulevikutehingud</w:t>
      </w:r>
    </w:p>
    <w:p w14:paraId="2AB08CCF" w14:textId="6687E713" w:rsidR="00A0454C" w:rsidRDefault="00A0454C" w:rsidP="00A0454C">
      <w:proofErr w:type="spellStart"/>
      <w:r w:rsidRPr="008D6ED6">
        <w:t>Nasdaq</w:t>
      </w:r>
      <w:proofErr w:type="spellEnd"/>
      <w:r w:rsidRPr="008D6ED6">
        <w:t xml:space="preserve"> OMX </w:t>
      </w:r>
      <w:proofErr w:type="spellStart"/>
      <w:r w:rsidRPr="008D6ED6">
        <w:t>Commodities</w:t>
      </w:r>
      <w:proofErr w:type="spellEnd"/>
      <w:r w:rsidRPr="00A0454C">
        <w:t xml:space="preserve"> 201</w:t>
      </w:r>
      <w:r w:rsidR="00A16CE2">
        <w:t>6</w:t>
      </w:r>
      <w:r w:rsidRPr="00A0454C">
        <w:t xml:space="preserve">. aasta </w:t>
      </w:r>
      <w:r w:rsidR="002153CA">
        <w:t>veebruari</w:t>
      </w:r>
      <w:r w:rsidRPr="00A0454C">
        <w:t xml:space="preserve"> viimase kauplemispäeva </w:t>
      </w:r>
      <w:r w:rsidR="002D5711">
        <w:t>(</w:t>
      </w:r>
      <w:r w:rsidR="00A16CE2">
        <w:t>29.0</w:t>
      </w:r>
      <w:r w:rsidR="00E80CC6">
        <w:t>2</w:t>
      </w:r>
      <w:r w:rsidR="00A16CE2">
        <w:t>.2016</w:t>
      </w:r>
      <w:r w:rsidR="002D5711">
        <w:t xml:space="preserve">) </w:t>
      </w:r>
      <w:r w:rsidRPr="00A0454C">
        <w:t>tulevikutehingute põhjal kujuneb N</w:t>
      </w:r>
      <w:r w:rsidR="00A16CE2">
        <w:t xml:space="preserve">ord </w:t>
      </w:r>
      <w:r w:rsidRPr="00A0454C">
        <w:t>P</w:t>
      </w:r>
      <w:r w:rsidR="00A16CE2">
        <w:t>ool elektribörsi</w:t>
      </w:r>
      <w:r w:rsidRPr="00A0454C">
        <w:t xml:space="preserve"> süsteemihinnaks 2016. a </w:t>
      </w:r>
      <w:r w:rsidR="00E80CC6">
        <w:t>märtsis</w:t>
      </w:r>
      <w:r w:rsidR="00A16CE2">
        <w:t xml:space="preserve"> </w:t>
      </w:r>
      <w:r w:rsidR="00E80CC6">
        <w:t>19,5</w:t>
      </w:r>
      <w:r w:rsidR="009641AD">
        <w:t>5 €/MWh ja 2016. a tei</w:t>
      </w:r>
      <w:r w:rsidRPr="00A0454C">
        <w:t xml:space="preserve">se kvartali hinnaks </w:t>
      </w:r>
      <w:r w:rsidR="00E80CC6">
        <w:t>16,85</w:t>
      </w:r>
      <w:r w:rsidRPr="00A0454C">
        <w:t xml:space="preserve"> €/MWh. EPAD Tallinn lepingute sulge</w:t>
      </w:r>
      <w:r w:rsidR="00354CE0">
        <w:softHyphen/>
      </w:r>
      <w:r w:rsidR="009641AD">
        <w:t xml:space="preserve">mishind oli 2016. aasta </w:t>
      </w:r>
      <w:r w:rsidR="00E80CC6">
        <w:t xml:space="preserve">märtsi </w:t>
      </w:r>
      <w:r w:rsidRPr="00A0454C">
        <w:t xml:space="preserve">tootel </w:t>
      </w:r>
      <w:r w:rsidR="009641AD">
        <w:t>1</w:t>
      </w:r>
      <w:r w:rsidR="00E80CC6">
        <w:t>1</w:t>
      </w:r>
      <w:r w:rsidR="009641AD">
        <w:t xml:space="preserve"> </w:t>
      </w:r>
      <w:r w:rsidRPr="00A0454C">
        <w:t xml:space="preserve">€/MWh ning 2016. aasta </w:t>
      </w:r>
      <w:r w:rsidR="009641AD">
        <w:t xml:space="preserve">teise </w:t>
      </w:r>
      <w:r w:rsidRPr="00A0454C">
        <w:t xml:space="preserve">kvartali tootel </w:t>
      </w:r>
      <w:r w:rsidR="009641AD">
        <w:t>1</w:t>
      </w:r>
      <w:r w:rsidR="00E80CC6">
        <w:t>2,</w:t>
      </w:r>
      <w:r w:rsidR="009641AD">
        <w:t>5</w:t>
      </w:r>
      <w:r w:rsidRPr="00A0454C">
        <w:t xml:space="preserve"> €/MWh. </w:t>
      </w:r>
      <w:r w:rsidR="003E7A6C">
        <w:t>Tehingute</w:t>
      </w:r>
      <w:r w:rsidRPr="00A0454C">
        <w:t xml:space="preserve"> põhjal kujuneks 2016. aasta </w:t>
      </w:r>
      <w:r w:rsidR="00E80CC6">
        <w:t>märtsi</w:t>
      </w:r>
      <w:r w:rsidRPr="00A0454C">
        <w:t xml:space="preserve"> keskmiseks elektri</w:t>
      </w:r>
      <w:r w:rsidR="003E7A6C">
        <w:softHyphen/>
      </w:r>
      <w:r w:rsidRPr="00A0454C">
        <w:t xml:space="preserve">energia hinnaks NP Eesti hinnapiirkonnas </w:t>
      </w:r>
      <w:r w:rsidR="00E80CC6">
        <w:t xml:space="preserve">30,55 </w:t>
      </w:r>
      <w:r w:rsidRPr="00A0454C">
        <w:t xml:space="preserve">ja </w:t>
      </w:r>
      <w:r w:rsidR="009641AD">
        <w:t>teise</w:t>
      </w:r>
      <w:r w:rsidRPr="00A0454C">
        <w:t xml:space="preserve"> kvartali keskmiseks hinnaks </w:t>
      </w:r>
      <w:r w:rsidR="00E80CC6">
        <w:t>29,35</w:t>
      </w:r>
      <w:r w:rsidRPr="00A0454C">
        <w:t xml:space="preserve"> €/MWh</w:t>
      </w:r>
      <w:r w:rsidR="002D5711">
        <w:t xml:space="preserve"> (</w:t>
      </w:r>
      <w:r w:rsidR="00E80CC6">
        <w:t>jaanuari</w:t>
      </w:r>
      <w:r w:rsidR="009641AD">
        <w:t xml:space="preserve"> </w:t>
      </w:r>
      <w:r w:rsidR="002D5711">
        <w:t xml:space="preserve">lõpu tehingute põhjal vastavalt </w:t>
      </w:r>
      <w:r w:rsidR="00E80CC6">
        <w:t>34,58</w:t>
      </w:r>
      <w:r w:rsidR="002D5711">
        <w:t xml:space="preserve"> ja </w:t>
      </w:r>
      <w:r w:rsidR="009641AD">
        <w:t>31,</w:t>
      </w:r>
      <w:r w:rsidR="00E80CC6">
        <w:t>94</w:t>
      </w:r>
      <w:r w:rsidR="002D5711">
        <w:t xml:space="preserve"> €/MWh)</w:t>
      </w:r>
      <w:r w:rsidRPr="00A0454C">
        <w:t>.</w:t>
      </w:r>
    </w:p>
    <w:p w14:paraId="5216B472" w14:textId="77777777" w:rsidR="00A0454C" w:rsidRDefault="00A0454C" w:rsidP="0022344D"/>
    <w:p w14:paraId="03FFD5A8" w14:textId="554B1B20" w:rsidR="00A0454C" w:rsidRDefault="00E80CC6" w:rsidP="00BA7A51">
      <w:pPr>
        <w:spacing w:after="40"/>
      </w:pPr>
      <w:r>
        <w:rPr>
          <w:noProof/>
        </w:rPr>
        <w:drawing>
          <wp:inline distT="0" distB="0" distL="0" distR="0" wp14:anchorId="45357128" wp14:editId="1E845204">
            <wp:extent cx="2966085" cy="1908175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4E79" w14:textId="2E586AE1" w:rsidR="00A0454C" w:rsidRPr="00A0454C" w:rsidRDefault="00A0454C" w:rsidP="0022344D">
      <w:pPr>
        <w:rPr>
          <w:rStyle w:val="SubtleEmphasis"/>
        </w:rPr>
      </w:pPr>
      <w:r w:rsidRPr="00A0454C">
        <w:rPr>
          <w:rStyle w:val="SubtleEmphasis"/>
        </w:rPr>
        <w:t xml:space="preserve">NP EE hinnapiirkonna eeldatav hind </w:t>
      </w:r>
      <w:proofErr w:type="spellStart"/>
      <w:r w:rsidRPr="00A0454C">
        <w:rPr>
          <w:rStyle w:val="SubtleEmphasis"/>
        </w:rPr>
        <w:t>Nasdaq</w:t>
      </w:r>
      <w:proofErr w:type="spellEnd"/>
      <w:r w:rsidRPr="00A0454C">
        <w:rPr>
          <w:rStyle w:val="SubtleEmphasis"/>
        </w:rPr>
        <w:t xml:space="preserve"> OMX tuleviku</w:t>
      </w:r>
      <w:r>
        <w:rPr>
          <w:rStyle w:val="SubtleEmphasis"/>
        </w:rPr>
        <w:softHyphen/>
      </w:r>
      <w:r w:rsidRPr="00A0454C">
        <w:rPr>
          <w:rStyle w:val="SubtleEmphasis"/>
        </w:rPr>
        <w:t>tehingute hindade põhjal 201</w:t>
      </w:r>
      <w:r w:rsidR="00E80CC6">
        <w:rPr>
          <w:rStyle w:val="SubtleEmphasis"/>
        </w:rPr>
        <w:t>6</w:t>
      </w:r>
      <w:r w:rsidRPr="00A0454C">
        <w:rPr>
          <w:rStyle w:val="SubtleEmphasis"/>
        </w:rPr>
        <w:t xml:space="preserve">. a </w:t>
      </w:r>
      <w:r w:rsidR="00E80CC6">
        <w:rPr>
          <w:rStyle w:val="SubtleEmphasis"/>
        </w:rPr>
        <w:t>jaanua</w:t>
      </w:r>
      <w:r w:rsidRPr="00A0454C">
        <w:rPr>
          <w:rStyle w:val="SubtleEmphasis"/>
        </w:rPr>
        <w:t xml:space="preserve">ri </w:t>
      </w:r>
      <w:r w:rsidR="009641AD">
        <w:rPr>
          <w:rStyle w:val="SubtleEmphasis"/>
        </w:rPr>
        <w:t xml:space="preserve">ja </w:t>
      </w:r>
      <w:r w:rsidR="00E80CC6">
        <w:rPr>
          <w:rStyle w:val="SubtleEmphasis"/>
        </w:rPr>
        <w:t>veebru</w:t>
      </w:r>
      <w:r w:rsidR="009641AD">
        <w:rPr>
          <w:rStyle w:val="SubtleEmphasis"/>
        </w:rPr>
        <w:t xml:space="preserve">ari </w:t>
      </w:r>
      <w:r w:rsidRPr="00A0454C">
        <w:rPr>
          <w:rStyle w:val="SubtleEmphasis"/>
        </w:rPr>
        <w:t>viimase kauplemispäeva seisuga</w:t>
      </w:r>
    </w:p>
    <w:p w14:paraId="4C154BAF" w14:textId="77777777" w:rsidR="00A0454C" w:rsidRDefault="00A0454C" w:rsidP="0022344D"/>
    <w:p w14:paraId="68056358" w14:textId="286E56A7" w:rsidR="00A0454C" w:rsidRDefault="00115F7C" w:rsidP="0022344D">
      <w:r w:rsidRPr="00115F7C">
        <w:t xml:space="preserve">EEX </w:t>
      </w:r>
      <w:proofErr w:type="spellStart"/>
      <w:r w:rsidRPr="00115F7C">
        <w:t>Power</w:t>
      </w:r>
      <w:proofErr w:type="spellEnd"/>
      <w:r w:rsidRPr="00115F7C">
        <w:t xml:space="preserve"> </w:t>
      </w:r>
      <w:proofErr w:type="spellStart"/>
      <w:r w:rsidRPr="00115F7C">
        <w:t>Derivatives</w:t>
      </w:r>
      <w:proofErr w:type="spellEnd"/>
      <w:r w:rsidRPr="00115F7C">
        <w:t xml:space="preserve"> </w:t>
      </w:r>
      <w:r w:rsidR="00DB79E8">
        <w:t xml:space="preserve">futuuride hinnad jätkasid langust. </w:t>
      </w:r>
      <w:r w:rsidRPr="00115F7C">
        <w:t xml:space="preserve">Saksamaa piirkonna </w:t>
      </w:r>
      <w:r w:rsidR="000A678E">
        <w:t xml:space="preserve">jaanuari </w:t>
      </w:r>
      <w:r>
        <w:t>viimase kauplemispäeva</w:t>
      </w:r>
      <w:r w:rsidR="000A678E">
        <w:t xml:space="preserve"> tuleviku</w:t>
      </w:r>
      <w:r w:rsidR="000A678E" w:rsidRPr="00115F7C">
        <w:t>tehingute</w:t>
      </w:r>
      <w:r w:rsidR="000A678E">
        <w:t xml:space="preserve"> põhjal kujuneb 2017. aasta baashinnaks 2</w:t>
      </w:r>
      <w:r w:rsidR="00DB79E8">
        <w:t>1,45</w:t>
      </w:r>
      <w:r w:rsidR="000A678E">
        <w:t xml:space="preserve"> €/MWh ning tipukoormuse hinnaks 2</w:t>
      </w:r>
      <w:r w:rsidR="00DB79E8">
        <w:t>7,66</w:t>
      </w:r>
      <w:r w:rsidR="000A678E">
        <w:t xml:space="preserve"> €/MWh</w:t>
      </w:r>
      <w:r w:rsidRPr="00115F7C">
        <w:t xml:space="preserve">. Prantsusmaa piirkonna tehingute põhjal </w:t>
      </w:r>
      <w:r w:rsidR="000A678E">
        <w:t xml:space="preserve">kaubeldi 2017. a </w:t>
      </w:r>
      <w:r w:rsidRPr="00115F7C">
        <w:t>baaselektri</w:t>
      </w:r>
      <w:r w:rsidR="000A678E">
        <w:t xml:space="preserve"> futuuridega</w:t>
      </w:r>
      <w:r w:rsidRPr="00115F7C">
        <w:t xml:space="preserve"> </w:t>
      </w:r>
      <w:r w:rsidR="000A678E">
        <w:t xml:space="preserve">hinnaga </w:t>
      </w:r>
      <w:r w:rsidR="00DB79E8">
        <w:t>25,81</w:t>
      </w:r>
      <w:r w:rsidR="000A678E">
        <w:t xml:space="preserve"> €/MWh </w:t>
      </w:r>
      <w:r w:rsidRPr="00115F7C">
        <w:t>ja tipu</w:t>
      </w:r>
      <w:r w:rsidR="00DB79E8">
        <w:softHyphen/>
      </w:r>
      <w:r w:rsidRPr="00115F7C">
        <w:t xml:space="preserve">tundide </w:t>
      </w:r>
      <w:r w:rsidR="000A678E">
        <w:t>futuuridega hinnaga</w:t>
      </w:r>
      <w:r w:rsidRPr="00115F7C">
        <w:t xml:space="preserve"> </w:t>
      </w:r>
      <w:r w:rsidR="000A678E">
        <w:t>3</w:t>
      </w:r>
      <w:r w:rsidR="00DB79E8">
        <w:t>3,03</w:t>
      </w:r>
      <w:r w:rsidRPr="00115F7C">
        <w:t xml:space="preserve"> €</w:t>
      </w:r>
      <w:r w:rsidR="000A678E">
        <w:t>/MWh</w:t>
      </w:r>
      <w:r w:rsidRPr="00115F7C">
        <w:t>.</w:t>
      </w:r>
    </w:p>
    <w:p w14:paraId="2BA4280D" w14:textId="77777777" w:rsidR="00115F7C" w:rsidRDefault="00115F7C" w:rsidP="002234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1271"/>
      </w:tblGrid>
      <w:tr w:rsidR="00AA7808" w:rsidRPr="00D231C5" w14:paraId="76A57BF2" w14:textId="77777777" w:rsidTr="00AA7808">
        <w:trPr>
          <w:trHeight w:val="265"/>
        </w:trPr>
        <w:tc>
          <w:tcPr>
            <w:tcW w:w="1985" w:type="dxa"/>
            <w:vMerge w:val="restart"/>
            <w:shd w:val="clear" w:color="auto" w:fill="007087"/>
            <w:vAlign w:val="center"/>
          </w:tcPr>
          <w:p w14:paraId="3E3EE8DA" w14:textId="1D8C9A47" w:rsidR="00AA7808" w:rsidRDefault="00AA7808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lastRenderedPageBreak/>
              <w:t>€/MWh</w:t>
            </w:r>
          </w:p>
        </w:tc>
        <w:tc>
          <w:tcPr>
            <w:tcW w:w="2688" w:type="dxa"/>
            <w:gridSpan w:val="2"/>
            <w:shd w:val="clear" w:color="auto" w:fill="007087"/>
            <w:vAlign w:val="center"/>
          </w:tcPr>
          <w:p w14:paraId="22F39B9C" w14:textId="57093616" w:rsidR="00AA7808" w:rsidRDefault="00AA7808" w:rsidP="00AA780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2017. a baas-/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AA7808" w:rsidRPr="00D231C5" w14:paraId="5806BE6C" w14:textId="77777777" w:rsidTr="00AA7808">
        <w:trPr>
          <w:trHeight w:val="242"/>
        </w:trPr>
        <w:tc>
          <w:tcPr>
            <w:tcW w:w="1985" w:type="dxa"/>
            <w:vMerge/>
            <w:shd w:val="clear" w:color="auto" w:fill="007087"/>
            <w:vAlign w:val="center"/>
          </w:tcPr>
          <w:p w14:paraId="10D5FC67" w14:textId="473D810D" w:rsidR="00AA7808" w:rsidRPr="00D231C5" w:rsidRDefault="00AA7808" w:rsidP="00BD5398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7087"/>
            <w:vAlign w:val="center"/>
          </w:tcPr>
          <w:p w14:paraId="15377A57" w14:textId="33EB499B" w:rsidR="00AA7808" w:rsidRPr="00D231C5" w:rsidRDefault="00DB79E8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29.02.2016</w:t>
            </w:r>
          </w:p>
        </w:tc>
        <w:tc>
          <w:tcPr>
            <w:tcW w:w="1271" w:type="dxa"/>
            <w:shd w:val="clear" w:color="auto" w:fill="007087"/>
            <w:vAlign w:val="center"/>
          </w:tcPr>
          <w:p w14:paraId="7C40ABAB" w14:textId="0D488029" w:rsidR="00AA7808" w:rsidRPr="00D231C5" w:rsidRDefault="00DB79E8" w:rsidP="00BD539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29.01.2016</w:t>
            </w:r>
          </w:p>
        </w:tc>
      </w:tr>
      <w:tr w:rsidR="00DB79E8" w:rsidRPr="00D231C5" w14:paraId="334706F9" w14:textId="77777777" w:rsidTr="00AA7808">
        <w:tc>
          <w:tcPr>
            <w:tcW w:w="1985" w:type="dxa"/>
            <w:vAlign w:val="center"/>
          </w:tcPr>
          <w:p w14:paraId="0F5BBD57" w14:textId="3D6393E6" w:rsidR="00DB79E8" w:rsidRPr="00D231C5" w:rsidRDefault="00DB79E8" w:rsidP="00DB79E8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Phelix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Power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(Saksamaa)</w:t>
            </w:r>
          </w:p>
        </w:tc>
        <w:tc>
          <w:tcPr>
            <w:tcW w:w="1417" w:type="dxa"/>
            <w:vAlign w:val="center"/>
          </w:tcPr>
          <w:p w14:paraId="4D7B6867" w14:textId="430D3C26" w:rsidR="00DB79E8" w:rsidRPr="00D231C5" w:rsidRDefault="00DB79E8" w:rsidP="00DB79E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21,45/27,66</w:t>
            </w:r>
          </w:p>
        </w:tc>
        <w:tc>
          <w:tcPr>
            <w:tcW w:w="1271" w:type="dxa"/>
            <w:vAlign w:val="center"/>
          </w:tcPr>
          <w:p w14:paraId="1261214B" w14:textId="7F3193AA" w:rsidR="00DB79E8" w:rsidRPr="00D231C5" w:rsidRDefault="00DB79E8" w:rsidP="00DB79E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23,59/29,91</w:t>
            </w:r>
          </w:p>
        </w:tc>
      </w:tr>
      <w:tr w:rsidR="00DB79E8" w:rsidRPr="00D231C5" w14:paraId="2C3D5516" w14:textId="77777777" w:rsidTr="00AA7808">
        <w:tc>
          <w:tcPr>
            <w:tcW w:w="1985" w:type="dxa"/>
            <w:vAlign w:val="center"/>
          </w:tcPr>
          <w:p w14:paraId="46E3584C" w14:textId="11E98823" w:rsidR="00DB79E8" w:rsidRPr="00D231C5" w:rsidRDefault="00DB79E8" w:rsidP="00DB79E8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proofErr w:type="spellStart"/>
            <w:r w:rsidRPr="000A678E">
              <w:rPr>
                <w:sz w:val="16"/>
                <w:szCs w:val="16"/>
              </w:rPr>
              <w:t>French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Physical</w:t>
            </w:r>
            <w:proofErr w:type="spellEnd"/>
            <w:r w:rsidRPr="000A678E">
              <w:rPr>
                <w:sz w:val="16"/>
                <w:szCs w:val="16"/>
              </w:rPr>
              <w:t xml:space="preserve"> </w:t>
            </w:r>
            <w:proofErr w:type="spellStart"/>
            <w:r w:rsidRPr="000A678E">
              <w:rPr>
                <w:sz w:val="16"/>
                <w:szCs w:val="16"/>
              </w:rPr>
              <w:t>Futures</w:t>
            </w:r>
            <w:proofErr w:type="spellEnd"/>
            <w:r w:rsidRPr="000A678E">
              <w:rPr>
                <w:sz w:val="16"/>
                <w:szCs w:val="16"/>
              </w:rPr>
              <w:t xml:space="preserve"> (Prantsusmaa)</w:t>
            </w:r>
          </w:p>
        </w:tc>
        <w:tc>
          <w:tcPr>
            <w:tcW w:w="1417" w:type="dxa"/>
            <w:vAlign w:val="center"/>
          </w:tcPr>
          <w:p w14:paraId="1ABF2D49" w14:textId="602E66DF" w:rsidR="00DB79E8" w:rsidRPr="00D231C5" w:rsidRDefault="00DB79E8" w:rsidP="00DB79E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25,81/33,03</w:t>
            </w:r>
          </w:p>
        </w:tc>
        <w:tc>
          <w:tcPr>
            <w:tcW w:w="1271" w:type="dxa"/>
            <w:vAlign w:val="center"/>
          </w:tcPr>
          <w:p w14:paraId="3338FC8C" w14:textId="2BFAEBC0" w:rsidR="00DB79E8" w:rsidRPr="00D231C5" w:rsidRDefault="00DB79E8" w:rsidP="00DB79E8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29,38/38,00</w:t>
            </w:r>
          </w:p>
        </w:tc>
      </w:tr>
    </w:tbl>
    <w:p w14:paraId="31C120F4" w14:textId="77777777" w:rsidR="00A0454C" w:rsidRDefault="00A0454C" w:rsidP="0022344D"/>
    <w:p w14:paraId="7D135EA0" w14:textId="77777777" w:rsidR="00A0454C" w:rsidRDefault="00A0454C" w:rsidP="0022344D"/>
    <w:p w14:paraId="4934D4EC" w14:textId="03AE3C03" w:rsidR="00157C62" w:rsidRDefault="00157C62" w:rsidP="00157C62">
      <w:pPr>
        <w:pStyle w:val="Heading2"/>
      </w:pPr>
      <w:r>
        <w:t>Limiteeritud PTR-</w:t>
      </w:r>
      <w:proofErr w:type="spellStart"/>
      <w:r>
        <w:t>ide</w:t>
      </w:r>
      <w:proofErr w:type="spellEnd"/>
      <w:r>
        <w:t xml:space="preserve"> oksjon Eesti-Läti piiril</w:t>
      </w:r>
    </w:p>
    <w:p w14:paraId="6B2229FE" w14:textId="4D4E927C" w:rsidR="00A0454C" w:rsidRDefault="00157C62" w:rsidP="00157C62">
      <w:r w:rsidRPr="00157C62">
        <w:t xml:space="preserve">Eesti ja Läti süsteemihaldurite </w:t>
      </w:r>
      <w:proofErr w:type="spellStart"/>
      <w:r w:rsidRPr="00157C62">
        <w:t>Elering</w:t>
      </w:r>
      <w:proofErr w:type="spellEnd"/>
      <w:r w:rsidRPr="00157C62">
        <w:t xml:space="preserve"> ja </w:t>
      </w:r>
      <w:proofErr w:type="spellStart"/>
      <w:r w:rsidRPr="00157C62">
        <w:t>Augstsprieguma</w:t>
      </w:r>
      <w:proofErr w:type="spellEnd"/>
      <w:r w:rsidRPr="00157C62">
        <w:t xml:space="preserve"> </w:t>
      </w:r>
      <w:proofErr w:type="spellStart"/>
      <w:r w:rsidRPr="00157C62">
        <w:t>tīkls</w:t>
      </w:r>
      <w:proofErr w:type="spellEnd"/>
      <w:r w:rsidRPr="00157C62">
        <w:t xml:space="preserve"> kokkuleppe kohaselt rakendatakse Eesti ja Läti vahe</w:t>
      </w:r>
      <w:r w:rsidR="00BC0193">
        <w:softHyphen/>
      </w:r>
      <w:r w:rsidRPr="00157C62">
        <w:t>lisel piiril osaliselt võimsuste limiteeritud otsest jaotus</w:t>
      </w:r>
      <w:r w:rsidR="00BC0193">
        <w:softHyphen/>
      </w:r>
      <w:r w:rsidRPr="00157C62">
        <w:t xml:space="preserve">mehhanismi. </w:t>
      </w:r>
      <w:r w:rsidR="00AA7808">
        <w:t>22</w:t>
      </w:r>
      <w:r w:rsidRPr="00157C62">
        <w:t xml:space="preserve">. </w:t>
      </w:r>
      <w:r w:rsidR="00AA7808">
        <w:t>oktoo</w:t>
      </w:r>
      <w:r w:rsidRPr="00157C62">
        <w:t>bril 201</w:t>
      </w:r>
      <w:r w:rsidR="00AA7808">
        <w:t>5</w:t>
      </w:r>
      <w:r w:rsidRPr="00157C62">
        <w:t xml:space="preserve"> oli oksjonil müügis </w:t>
      </w:r>
      <w:r w:rsidR="00AA7808">
        <w:t>3</w:t>
      </w:r>
      <w:r w:rsidRPr="00157C62">
        <w:t>00 MW ulatuses limiteeritud PTR-e 201</w:t>
      </w:r>
      <w:r w:rsidR="00AA7808">
        <w:t>6</w:t>
      </w:r>
      <w:r w:rsidRPr="00157C62">
        <w:t xml:space="preserve">. aasta igaks tunniks ning hinnaks kujunes </w:t>
      </w:r>
      <w:r w:rsidR="00AA7808">
        <w:t>4,55</w:t>
      </w:r>
      <w:r w:rsidRPr="00157C62">
        <w:t xml:space="preserve"> eurot megavatt-tunni kohta. </w:t>
      </w:r>
      <w:r w:rsidR="00AA7808">
        <w:t>9. det</w:t>
      </w:r>
      <w:r w:rsidR="00BC0193">
        <w:softHyphen/>
      </w:r>
      <w:r w:rsidR="00AA7808">
        <w:t>sembril</w:t>
      </w:r>
      <w:r w:rsidRPr="00157C62">
        <w:t xml:space="preserve"> müüdi 100 MW PTR-e 201</w:t>
      </w:r>
      <w:r w:rsidR="00AA7808">
        <w:t>6</w:t>
      </w:r>
      <w:r w:rsidRPr="00157C62">
        <w:t xml:space="preserve">. aasta </w:t>
      </w:r>
      <w:r w:rsidR="00AA7808">
        <w:t xml:space="preserve">esimese </w:t>
      </w:r>
      <w:r w:rsidRPr="00157C62">
        <w:t xml:space="preserve">kvartali igaks tunniks ja hinnaks kujunes </w:t>
      </w:r>
      <w:r w:rsidR="00AA7808">
        <w:t>2,42</w:t>
      </w:r>
      <w:r w:rsidRPr="00157C62">
        <w:t xml:space="preserve"> eurot megavatt-tun</w:t>
      </w:r>
      <w:r w:rsidR="00BC0193">
        <w:softHyphen/>
      </w:r>
      <w:r w:rsidRPr="00157C62">
        <w:t>ni kohta. 1</w:t>
      </w:r>
      <w:r w:rsidR="00544C99">
        <w:t>3</w:t>
      </w:r>
      <w:r w:rsidRPr="00157C62">
        <w:t xml:space="preserve">. </w:t>
      </w:r>
      <w:r w:rsidR="00544C99">
        <w:t>jaanuari</w:t>
      </w:r>
      <w:r w:rsidRPr="00157C62">
        <w:t xml:space="preserve"> oksjonil müüdi 1</w:t>
      </w:r>
      <w:r w:rsidR="00544C99">
        <w:t>5</w:t>
      </w:r>
      <w:r w:rsidRPr="00157C62">
        <w:t>0 MW PTR-e 201</w:t>
      </w:r>
      <w:r w:rsidR="00AA7808">
        <w:t>6</w:t>
      </w:r>
      <w:r w:rsidRPr="00157C62">
        <w:t xml:space="preserve">. aasta </w:t>
      </w:r>
      <w:r w:rsidR="00544C99">
        <w:t xml:space="preserve">veebruari </w:t>
      </w:r>
      <w:r w:rsidRPr="00157C62">
        <w:t xml:space="preserve">igaks tunniks. Oksjonil osales </w:t>
      </w:r>
      <w:r w:rsidR="00544C99">
        <w:t>11</w:t>
      </w:r>
      <w:r w:rsidRPr="00157C62">
        <w:t xml:space="preserve"> turu</w:t>
      </w:r>
      <w:r w:rsidR="00BC0193">
        <w:softHyphen/>
      </w:r>
      <w:r w:rsidRPr="00157C62">
        <w:t xml:space="preserve">osalist, </w:t>
      </w:r>
      <w:r>
        <w:t xml:space="preserve">kellest </w:t>
      </w:r>
      <w:r w:rsidR="00544C99">
        <w:t>üheksa</w:t>
      </w:r>
      <w:r>
        <w:t xml:space="preserve"> </w:t>
      </w:r>
      <w:r w:rsidRPr="00157C62">
        <w:t xml:space="preserve">pakkumused osutusid edukaks. PTR-L </w:t>
      </w:r>
      <w:r w:rsidR="00544C99">
        <w:t>Feb</w:t>
      </w:r>
      <w:r w:rsidRPr="00157C62">
        <w:t>-201</w:t>
      </w:r>
      <w:r w:rsidR="00AA7808">
        <w:t>6</w:t>
      </w:r>
      <w:r w:rsidRPr="00157C62">
        <w:t xml:space="preserve"> hinnaks kujunes </w:t>
      </w:r>
      <w:r w:rsidR="00AA7808">
        <w:t>3,</w:t>
      </w:r>
      <w:r w:rsidR="00544C99">
        <w:t>03</w:t>
      </w:r>
      <w:r w:rsidRPr="00157C62">
        <w:t xml:space="preserve"> eurot megavati kohta iga tunni jaoks.</w:t>
      </w:r>
    </w:p>
    <w:p w14:paraId="18B1D782" w14:textId="77777777" w:rsidR="00A0454C" w:rsidRDefault="00A0454C" w:rsidP="0022344D"/>
    <w:p w14:paraId="79A54ECB" w14:textId="5A56700B" w:rsidR="00A0454C" w:rsidRDefault="00544C99" w:rsidP="0022344D">
      <w:r>
        <w:t>Veebr</w:t>
      </w:r>
      <w:r w:rsidR="00AA7808">
        <w:t>uari</w:t>
      </w:r>
      <w:r w:rsidR="00157C62">
        <w:t xml:space="preserve"> t</w:t>
      </w:r>
      <w:r w:rsidR="00157C62" w:rsidRPr="00157C62">
        <w:t>egelikuks keskmiseks hinnaerinevuseks N</w:t>
      </w:r>
      <w:r w:rsidR="00AA7808">
        <w:t xml:space="preserve">ord </w:t>
      </w:r>
      <w:r w:rsidR="00157C62" w:rsidRPr="00157C62">
        <w:t>P</w:t>
      </w:r>
      <w:r w:rsidR="00AA7808">
        <w:t>ool elektribörsi</w:t>
      </w:r>
      <w:r w:rsidR="00157C62" w:rsidRPr="00157C62">
        <w:t xml:space="preserve"> Eesti ja Läti hinnapiirkondade vahel kuju</w:t>
      </w:r>
      <w:r w:rsidR="00BC0193">
        <w:softHyphen/>
      </w:r>
      <w:r w:rsidR="00157C62" w:rsidRPr="00157C62">
        <w:t xml:space="preserve">nes </w:t>
      </w:r>
      <w:r w:rsidR="00AA7808">
        <w:t>1,3</w:t>
      </w:r>
      <w:r>
        <w:t>7</w:t>
      </w:r>
      <w:r w:rsidR="00AA7808">
        <w:t xml:space="preserve"> </w:t>
      </w:r>
      <w:r w:rsidR="00157C62" w:rsidRPr="00157C62">
        <w:t xml:space="preserve">€/MW ühe tunni kohta. Seega maksid </w:t>
      </w:r>
      <w:r w:rsidRPr="00157C62">
        <w:t>limiteeritud PTR-e ostnud</w:t>
      </w:r>
      <w:r>
        <w:t xml:space="preserve"> turuosalised</w:t>
      </w:r>
      <w:r w:rsidR="00157C62" w:rsidRPr="00157C62">
        <w:t xml:space="preserve"> </w:t>
      </w:r>
      <w:r>
        <w:t>süsteemihalduritele</w:t>
      </w:r>
      <w:r w:rsidR="00157C62" w:rsidRPr="00157C62">
        <w:t xml:space="preserve"> aastase toote eest </w:t>
      </w:r>
      <w:r>
        <w:t>662 517</w:t>
      </w:r>
      <w:r w:rsidR="00157C62" w:rsidRPr="00157C62">
        <w:t xml:space="preserve"> eurot, kvartali toote eest </w:t>
      </w:r>
      <w:r>
        <w:t>72 591</w:t>
      </w:r>
      <w:r w:rsidR="00157C62" w:rsidRPr="00157C62">
        <w:t xml:space="preserve"> eurot ja kuu toote eest </w:t>
      </w:r>
      <w:r>
        <w:t>172 570</w:t>
      </w:r>
      <w:r w:rsidR="00157C62" w:rsidRPr="00157C62">
        <w:t xml:space="preserve"> eurot.</w:t>
      </w:r>
    </w:p>
    <w:p w14:paraId="55CCC744" w14:textId="77777777" w:rsidR="00A0454C" w:rsidRDefault="00A0454C" w:rsidP="0022344D"/>
    <w:p w14:paraId="2C056FEB" w14:textId="5161AEFA" w:rsidR="00A0454C" w:rsidRDefault="00544C99" w:rsidP="00BA7A51">
      <w:pPr>
        <w:spacing w:after="40"/>
      </w:pPr>
      <w:r>
        <w:rPr>
          <w:noProof/>
        </w:rPr>
        <w:drawing>
          <wp:inline distT="0" distB="0" distL="0" distR="0" wp14:anchorId="76A47AAE" wp14:editId="64C76B06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7FA9" w14:textId="4C323383" w:rsidR="00157C62" w:rsidRDefault="00340A89" w:rsidP="0022344D">
      <w:r w:rsidRPr="00340A89">
        <w:rPr>
          <w:rStyle w:val="SubtleEmphasis"/>
        </w:rPr>
        <w:t>Limiteeritud PTR võrdlus</w:t>
      </w:r>
      <w:r w:rsidR="003D66E5">
        <w:rPr>
          <w:rStyle w:val="SubtleEmphasis"/>
        </w:rPr>
        <w:t xml:space="preserve"> Nord Pool</w:t>
      </w:r>
      <w:r w:rsidRPr="00340A89">
        <w:rPr>
          <w:rStyle w:val="SubtleEmphasis"/>
        </w:rPr>
        <w:t xml:space="preserve"> Eesti ja Läti hinnapiirkonna hinnaerinevusega 201</w:t>
      </w:r>
      <w:r w:rsidR="003D66E5">
        <w:rPr>
          <w:rStyle w:val="SubtleEmphasis"/>
        </w:rPr>
        <w:t>6</w:t>
      </w:r>
      <w:r w:rsidRPr="00340A89">
        <w:rPr>
          <w:rStyle w:val="SubtleEmphasis"/>
        </w:rPr>
        <w:t xml:space="preserve">. a </w:t>
      </w:r>
      <w:r w:rsidR="00544C99">
        <w:rPr>
          <w:rStyle w:val="SubtleEmphasis"/>
        </w:rPr>
        <w:t>veebr</w:t>
      </w:r>
      <w:r w:rsidR="003D66E5">
        <w:rPr>
          <w:rStyle w:val="SubtleEmphasis"/>
        </w:rPr>
        <w:t>ua</w:t>
      </w:r>
      <w:r>
        <w:rPr>
          <w:rStyle w:val="SubtleEmphasis"/>
        </w:rPr>
        <w:t>ris</w:t>
      </w:r>
    </w:p>
    <w:p w14:paraId="1FB4E408" w14:textId="77777777" w:rsidR="00D76AC2" w:rsidRDefault="00D76AC2" w:rsidP="0022344D"/>
    <w:p w14:paraId="71B88127" w14:textId="5B52635B" w:rsidR="00340A89" w:rsidRDefault="00544C99" w:rsidP="00340A89">
      <w:r>
        <w:t>Veebruaris</w:t>
      </w:r>
      <w:r w:rsidR="00024469">
        <w:t xml:space="preserve"> </w:t>
      </w:r>
      <w:r w:rsidR="00340A89">
        <w:t>toimus</w:t>
      </w:r>
      <w:r>
        <w:t>id</w:t>
      </w:r>
      <w:r w:rsidR="00340A89">
        <w:t xml:space="preserve"> PTR-</w:t>
      </w:r>
      <w:proofErr w:type="spellStart"/>
      <w:r w:rsidR="00340A89">
        <w:t>ide</w:t>
      </w:r>
      <w:proofErr w:type="spellEnd"/>
      <w:r w:rsidR="00340A89">
        <w:t xml:space="preserve"> oksjon</w:t>
      </w:r>
      <w:r>
        <w:t>id teise kvartali</w:t>
      </w:r>
      <w:r w:rsidR="00024469">
        <w:t xml:space="preserve"> </w:t>
      </w:r>
      <w:r>
        <w:t>ja märts</w:t>
      </w:r>
      <w:r w:rsidR="00340A89">
        <w:t>i</w:t>
      </w:r>
      <w:r>
        <w:t>kuu</w:t>
      </w:r>
      <w:r w:rsidR="00340A89">
        <w:t xml:space="preserve"> võimsus</w:t>
      </w:r>
      <w:r>
        <w:t>t</w:t>
      </w:r>
      <w:r w:rsidR="00340A89">
        <w:t>ele</w:t>
      </w:r>
      <w:r>
        <w:t xml:space="preserve"> Eesti-Läti piiril</w:t>
      </w:r>
      <w:r w:rsidR="00340A89">
        <w:t xml:space="preserve">. </w:t>
      </w:r>
      <w:r w:rsidR="00AA7808">
        <w:t>1</w:t>
      </w:r>
      <w:r>
        <w:t>0</w:t>
      </w:r>
      <w:r w:rsidR="00340A89">
        <w:t xml:space="preserve">. </w:t>
      </w:r>
      <w:r>
        <w:t>veebr</w:t>
      </w:r>
      <w:r w:rsidR="00AA7808">
        <w:t>ua</w:t>
      </w:r>
      <w:r w:rsidR="00340A89">
        <w:t xml:space="preserve">ril toimunud oksjonil oli müügis </w:t>
      </w:r>
      <w:r w:rsidR="00AA7808">
        <w:t>5</w:t>
      </w:r>
      <w:r w:rsidR="00340A89">
        <w:t xml:space="preserve">0 MW </w:t>
      </w:r>
      <w:r w:rsidR="00024469">
        <w:t xml:space="preserve">igaks 2016. a </w:t>
      </w:r>
      <w:r w:rsidR="00AC51C0">
        <w:t>teise kvartali tunniks, 11 oksjonil osalenud turuosalisest olid neli edukad. Teise kvartali võimsuse hinnaks kujunes 4,54 €/MWh. 17.02.2016 toimus oksjon märtsi võimsusele.</w:t>
      </w:r>
      <w:r w:rsidR="00024469">
        <w:t xml:space="preserve"> </w:t>
      </w:r>
      <w:r w:rsidR="00AC51C0">
        <w:t xml:space="preserve">Sel oksjonil </w:t>
      </w:r>
      <w:r w:rsidR="00024469">
        <w:t xml:space="preserve">osales kokku </w:t>
      </w:r>
      <w:r w:rsidR="00AA7808">
        <w:t>11</w:t>
      </w:r>
      <w:r w:rsidR="00024469">
        <w:t xml:space="preserve"> turuosalist</w:t>
      </w:r>
      <w:r w:rsidR="00AC51C0">
        <w:t>võimsus jagunes 10 turuosalise vahel</w:t>
      </w:r>
      <w:r w:rsidR="00024469">
        <w:t xml:space="preserve">, toote hinnaks kujunes </w:t>
      </w:r>
      <w:r w:rsidR="00AC51C0">
        <w:t>2,11</w:t>
      </w:r>
      <w:r w:rsidR="00024469">
        <w:t xml:space="preserve"> €/MW tunni kohta.</w:t>
      </w:r>
    </w:p>
    <w:p w14:paraId="4E3FB2F9" w14:textId="77777777" w:rsidR="00340A89" w:rsidRDefault="00340A89" w:rsidP="00340A89"/>
    <w:p w14:paraId="28F03AA1" w14:textId="1F83764B" w:rsidR="00157C62" w:rsidRDefault="00340A89" w:rsidP="00340A89">
      <w:r>
        <w:t>Täiendav teave oksjoni tulemuste, tingimuste, kalendri ja registreerimisvormi koht</w:t>
      </w:r>
      <w:r w:rsidR="00024469">
        <w:t xml:space="preserve">a on kättesaadav Eleringi </w:t>
      </w:r>
      <w:hyperlink r:id="rId28" w:history="1">
        <w:r w:rsidR="00024469" w:rsidRPr="00024469">
          <w:rPr>
            <w:rStyle w:val="Hyperlink"/>
          </w:rPr>
          <w:t>veebi</w:t>
        </w:r>
        <w:r w:rsidR="00024469">
          <w:rPr>
            <w:rStyle w:val="Hyperlink"/>
          </w:rPr>
          <w:softHyphen/>
        </w:r>
        <w:r w:rsidRPr="00024469">
          <w:rPr>
            <w:rStyle w:val="Hyperlink"/>
          </w:rPr>
          <w:t>lehel</w:t>
        </w:r>
      </w:hyperlink>
      <w:r w:rsidR="00024469">
        <w:t>.</w:t>
      </w:r>
    </w:p>
    <w:p w14:paraId="5FEFCCCA" w14:textId="77777777" w:rsidR="00024469" w:rsidRDefault="00024469" w:rsidP="00340A89"/>
    <w:p w14:paraId="1645795F" w14:textId="77777777" w:rsidR="005D3A6D" w:rsidRDefault="005D3A6D" w:rsidP="00340A89"/>
    <w:p w14:paraId="024DF4F4" w14:textId="77777777" w:rsidR="005D3A6D" w:rsidRDefault="005D3A6D" w:rsidP="00340A89"/>
    <w:p w14:paraId="77491AFB" w14:textId="0416D54D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2572F6DC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Nord Pool,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Augstsprieguma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tīkls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Litgrid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Fingrid</w:t>
      </w:r>
      <w:proofErr w:type="spellEnd"/>
      <w:r w:rsidRPr="005D3A6D">
        <w:rPr>
          <w:rStyle w:val="SubtleEmphasis"/>
        </w:rPr>
        <w:t xml:space="preserve">, </w:t>
      </w:r>
      <w:proofErr w:type="spellStart"/>
      <w:r w:rsidRPr="005D3A6D">
        <w:rPr>
          <w:rStyle w:val="SubtleEmphasis"/>
        </w:rPr>
        <w:t>European</w:t>
      </w:r>
      <w:proofErr w:type="spellEnd"/>
      <w:r w:rsidRPr="005D3A6D">
        <w:rPr>
          <w:rStyle w:val="SubtleEmphasis"/>
        </w:rPr>
        <w:t xml:space="preserve"> </w:t>
      </w:r>
      <w:proofErr w:type="spellStart"/>
      <w:r w:rsidRPr="005D3A6D">
        <w:rPr>
          <w:rStyle w:val="SubtleEmphasis"/>
        </w:rPr>
        <w:t>Energy</w:t>
      </w:r>
      <w:proofErr w:type="spellEnd"/>
      <w:r w:rsidRPr="005D3A6D">
        <w:rPr>
          <w:rStyle w:val="SubtleEmphasis"/>
        </w:rPr>
        <w:t xml:space="preserve"> Exchange, </w:t>
      </w:r>
      <w:proofErr w:type="spellStart"/>
      <w:r w:rsidRPr="005D3A6D">
        <w:rPr>
          <w:rStyle w:val="SubtleEmphasis"/>
        </w:rPr>
        <w:t>Nasdaq</w:t>
      </w:r>
      <w:proofErr w:type="spellEnd"/>
      <w:r w:rsidRPr="005D3A6D">
        <w:rPr>
          <w:rStyle w:val="SubtleEmphasis"/>
        </w:rPr>
        <w:t xml:space="preserve"> OMX</w:t>
      </w:r>
    </w:p>
    <w:p w14:paraId="7B01ACC2" w14:textId="77777777" w:rsidR="005D3A6D" w:rsidRDefault="005D3A6D" w:rsidP="005D3A6D">
      <w:pPr>
        <w:rPr>
          <w:rStyle w:val="SubtleEmphasis"/>
        </w:rPr>
      </w:pPr>
    </w:p>
    <w:p w14:paraId="3A4C0495" w14:textId="43790896" w:rsidR="005D3A6D" w:rsidRPr="005D3A6D" w:rsidRDefault="005D3A6D" w:rsidP="005D3A6D">
      <w:pPr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elektrienergiat või finantsinstrumente. </w:t>
      </w:r>
      <w:proofErr w:type="spellStart"/>
      <w:r w:rsidRPr="005D3A6D">
        <w:rPr>
          <w:rStyle w:val="SubtleEmphasis"/>
        </w:rPr>
        <w:t>Elering</w:t>
      </w:r>
      <w:proofErr w:type="spellEnd"/>
      <w:r w:rsidRPr="005D3A6D">
        <w:rPr>
          <w:rStyle w:val="SubtleEmphasis"/>
        </w:rPr>
        <w:t xml:space="preserve">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29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595E" w14:textId="77777777" w:rsidR="00593AE9" w:rsidRDefault="00593AE9" w:rsidP="0022344D">
      <w:r>
        <w:separator/>
      </w:r>
    </w:p>
    <w:p w14:paraId="468D6A87" w14:textId="77777777" w:rsidR="00593AE9" w:rsidRDefault="00593AE9" w:rsidP="0022344D"/>
    <w:p w14:paraId="3A3CA5B8" w14:textId="77777777" w:rsidR="00593AE9" w:rsidRDefault="00593AE9" w:rsidP="0022344D"/>
    <w:p w14:paraId="43AE542B" w14:textId="77777777" w:rsidR="00593AE9" w:rsidRDefault="00593AE9" w:rsidP="0022344D"/>
    <w:p w14:paraId="11DFC4AC" w14:textId="77777777" w:rsidR="00593AE9" w:rsidRDefault="00593AE9" w:rsidP="0022344D"/>
    <w:p w14:paraId="5088C629" w14:textId="77777777" w:rsidR="00593AE9" w:rsidRDefault="00593AE9" w:rsidP="0022344D"/>
    <w:p w14:paraId="2A26FE45" w14:textId="77777777" w:rsidR="00593AE9" w:rsidRDefault="00593AE9" w:rsidP="0022344D"/>
    <w:p w14:paraId="34F55BB5" w14:textId="77777777" w:rsidR="00593AE9" w:rsidRDefault="00593AE9" w:rsidP="0022344D"/>
    <w:p w14:paraId="43CC02E6" w14:textId="77777777" w:rsidR="00593AE9" w:rsidRDefault="00593AE9" w:rsidP="0022344D"/>
    <w:p w14:paraId="04980AB9" w14:textId="77777777" w:rsidR="00593AE9" w:rsidRDefault="00593AE9" w:rsidP="0022344D"/>
    <w:p w14:paraId="57E01487" w14:textId="77777777" w:rsidR="00593AE9" w:rsidRDefault="00593AE9" w:rsidP="0022344D"/>
    <w:p w14:paraId="4A805729" w14:textId="77777777" w:rsidR="00593AE9" w:rsidRDefault="00593AE9" w:rsidP="0022344D"/>
    <w:p w14:paraId="389C8AC0" w14:textId="77777777" w:rsidR="00593AE9" w:rsidRDefault="00593AE9" w:rsidP="0022344D"/>
    <w:p w14:paraId="6883ACD5" w14:textId="77777777" w:rsidR="00593AE9" w:rsidRDefault="00593AE9" w:rsidP="0022344D"/>
    <w:p w14:paraId="1E8A535A" w14:textId="77777777" w:rsidR="00593AE9" w:rsidRDefault="00593AE9" w:rsidP="0022344D"/>
    <w:p w14:paraId="3BAC73B8" w14:textId="77777777" w:rsidR="00593AE9" w:rsidRDefault="00593AE9" w:rsidP="0022344D"/>
    <w:p w14:paraId="61E03362" w14:textId="77777777" w:rsidR="00593AE9" w:rsidRDefault="00593AE9" w:rsidP="0022344D"/>
    <w:p w14:paraId="712012C3" w14:textId="77777777" w:rsidR="00593AE9" w:rsidRDefault="00593AE9" w:rsidP="0022344D"/>
    <w:p w14:paraId="767CACB6" w14:textId="77777777" w:rsidR="00593AE9" w:rsidRDefault="00593AE9" w:rsidP="0022344D"/>
    <w:p w14:paraId="27FAB549" w14:textId="77777777" w:rsidR="00593AE9" w:rsidRDefault="00593AE9" w:rsidP="0022344D"/>
    <w:p w14:paraId="58096C0A" w14:textId="77777777" w:rsidR="00593AE9" w:rsidRDefault="00593AE9" w:rsidP="0022344D"/>
    <w:p w14:paraId="7C829026" w14:textId="77777777" w:rsidR="00593AE9" w:rsidRDefault="00593AE9" w:rsidP="0022344D"/>
    <w:p w14:paraId="37E0FDD0" w14:textId="77777777" w:rsidR="00593AE9" w:rsidRDefault="00593AE9" w:rsidP="0022344D"/>
    <w:p w14:paraId="4D75DFB7" w14:textId="77777777" w:rsidR="00593AE9" w:rsidRDefault="00593AE9" w:rsidP="0022344D"/>
    <w:p w14:paraId="3E145070" w14:textId="77777777" w:rsidR="00593AE9" w:rsidRDefault="00593AE9" w:rsidP="0022344D"/>
    <w:p w14:paraId="2C5EB42D" w14:textId="77777777" w:rsidR="00593AE9" w:rsidRDefault="00593AE9" w:rsidP="0022344D"/>
    <w:p w14:paraId="4832F3DF" w14:textId="77777777" w:rsidR="00593AE9" w:rsidRDefault="00593AE9" w:rsidP="0022344D"/>
    <w:p w14:paraId="65C27D76" w14:textId="77777777" w:rsidR="00593AE9" w:rsidRDefault="00593AE9" w:rsidP="0022344D"/>
    <w:p w14:paraId="715414B2" w14:textId="77777777" w:rsidR="00593AE9" w:rsidRDefault="00593AE9" w:rsidP="0022344D"/>
    <w:p w14:paraId="41AAE208" w14:textId="77777777" w:rsidR="00593AE9" w:rsidRDefault="00593AE9" w:rsidP="0022344D"/>
    <w:p w14:paraId="53AE2000" w14:textId="77777777" w:rsidR="00593AE9" w:rsidRDefault="00593AE9" w:rsidP="0022344D"/>
    <w:p w14:paraId="5A0E8AB2" w14:textId="77777777" w:rsidR="00593AE9" w:rsidRDefault="00593AE9" w:rsidP="0022344D"/>
    <w:p w14:paraId="7AEBC1AD" w14:textId="77777777" w:rsidR="00593AE9" w:rsidRDefault="00593AE9" w:rsidP="0022344D"/>
    <w:p w14:paraId="41720315" w14:textId="77777777" w:rsidR="00593AE9" w:rsidRDefault="00593AE9" w:rsidP="0022344D"/>
    <w:p w14:paraId="4DED126C" w14:textId="77777777" w:rsidR="00593AE9" w:rsidRDefault="00593AE9" w:rsidP="0022344D"/>
    <w:p w14:paraId="1AE89240" w14:textId="77777777" w:rsidR="00593AE9" w:rsidRDefault="00593AE9" w:rsidP="0022344D"/>
    <w:p w14:paraId="673F72FF" w14:textId="77777777" w:rsidR="00593AE9" w:rsidRDefault="00593AE9" w:rsidP="0022344D"/>
    <w:p w14:paraId="082B8100" w14:textId="77777777" w:rsidR="00593AE9" w:rsidRDefault="00593AE9" w:rsidP="0022344D"/>
    <w:p w14:paraId="080080BF" w14:textId="77777777" w:rsidR="00593AE9" w:rsidRDefault="00593AE9" w:rsidP="0022344D"/>
    <w:p w14:paraId="1657C527" w14:textId="77777777" w:rsidR="00593AE9" w:rsidRDefault="00593AE9" w:rsidP="0022344D"/>
    <w:p w14:paraId="403331A0" w14:textId="77777777" w:rsidR="00593AE9" w:rsidRDefault="00593AE9" w:rsidP="0022344D"/>
    <w:p w14:paraId="07039368" w14:textId="77777777" w:rsidR="00593AE9" w:rsidRDefault="00593AE9" w:rsidP="0022344D"/>
    <w:p w14:paraId="2F3AACD0" w14:textId="77777777" w:rsidR="00593AE9" w:rsidRDefault="00593AE9" w:rsidP="0022344D"/>
    <w:p w14:paraId="79046B98" w14:textId="77777777" w:rsidR="00593AE9" w:rsidRDefault="00593AE9" w:rsidP="0022344D"/>
    <w:p w14:paraId="39A0A3B9" w14:textId="77777777" w:rsidR="00593AE9" w:rsidRDefault="00593AE9" w:rsidP="0022344D"/>
    <w:p w14:paraId="62B5D3A3" w14:textId="77777777" w:rsidR="00593AE9" w:rsidRDefault="00593AE9" w:rsidP="0022344D"/>
    <w:p w14:paraId="7484EF7A" w14:textId="77777777" w:rsidR="00593AE9" w:rsidRDefault="00593AE9" w:rsidP="0022344D"/>
    <w:p w14:paraId="2AE3FE4D" w14:textId="77777777" w:rsidR="00593AE9" w:rsidRDefault="00593AE9" w:rsidP="0022344D"/>
    <w:p w14:paraId="079FA7DE" w14:textId="77777777" w:rsidR="00593AE9" w:rsidRDefault="00593AE9" w:rsidP="0022344D"/>
    <w:p w14:paraId="12F7A59A" w14:textId="77777777" w:rsidR="00593AE9" w:rsidRDefault="00593AE9" w:rsidP="0022344D"/>
    <w:p w14:paraId="4198B008" w14:textId="77777777" w:rsidR="00593AE9" w:rsidRDefault="00593AE9" w:rsidP="0022344D"/>
    <w:p w14:paraId="19A5E765" w14:textId="77777777" w:rsidR="00593AE9" w:rsidRDefault="00593AE9" w:rsidP="0022344D"/>
    <w:p w14:paraId="0CAAC1EB" w14:textId="77777777" w:rsidR="00593AE9" w:rsidRDefault="00593AE9" w:rsidP="0022344D"/>
    <w:p w14:paraId="0DDE1F01" w14:textId="77777777" w:rsidR="00593AE9" w:rsidRDefault="00593AE9" w:rsidP="0022344D"/>
    <w:p w14:paraId="1D58198B" w14:textId="77777777" w:rsidR="00593AE9" w:rsidRDefault="00593AE9" w:rsidP="0022344D"/>
    <w:p w14:paraId="57D8BB77" w14:textId="77777777" w:rsidR="00593AE9" w:rsidRDefault="00593AE9" w:rsidP="0022344D"/>
    <w:p w14:paraId="309CB97F" w14:textId="77777777" w:rsidR="00593AE9" w:rsidRDefault="00593AE9" w:rsidP="0022344D"/>
    <w:p w14:paraId="0784FAE2" w14:textId="77777777" w:rsidR="00593AE9" w:rsidRDefault="00593AE9" w:rsidP="0022344D"/>
    <w:p w14:paraId="139956FE" w14:textId="77777777" w:rsidR="00593AE9" w:rsidRDefault="00593AE9" w:rsidP="0022344D"/>
    <w:p w14:paraId="7CAB0C29" w14:textId="77777777" w:rsidR="00593AE9" w:rsidRDefault="00593AE9" w:rsidP="0022344D"/>
    <w:p w14:paraId="48FE8272" w14:textId="77777777" w:rsidR="00593AE9" w:rsidRDefault="00593AE9" w:rsidP="0022344D"/>
    <w:p w14:paraId="66DF2B80" w14:textId="77777777" w:rsidR="00593AE9" w:rsidRDefault="00593AE9" w:rsidP="0022344D"/>
    <w:p w14:paraId="1A94B068" w14:textId="77777777" w:rsidR="00593AE9" w:rsidRDefault="00593AE9" w:rsidP="0022344D"/>
    <w:p w14:paraId="554056A1" w14:textId="77777777" w:rsidR="00593AE9" w:rsidRDefault="00593AE9" w:rsidP="0022344D"/>
    <w:p w14:paraId="204837F4" w14:textId="77777777" w:rsidR="00593AE9" w:rsidRDefault="00593AE9" w:rsidP="0022344D"/>
    <w:p w14:paraId="0D9760D6" w14:textId="77777777" w:rsidR="00593AE9" w:rsidRDefault="00593AE9" w:rsidP="0022344D"/>
    <w:p w14:paraId="036AB961" w14:textId="77777777" w:rsidR="00593AE9" w:rsidRDefault="00593AE9" w:rsidP="0022344D"/>
    <w:p w14:paraId="3056643A" w14:textId="77777777" w:rsidR="00593AE9" w:rsidRDefault="00593AE9" w:rsidP="0022344D"/>
    <w:p w14:paraId="7D4FE26D" w14:textId="77777777" w:rsidR="00593AE9" w:rsidRDefault="00593AE9" w:rsidP="0022344D"/>
    <w:p w14:paraId="7CAE7C3C" w14:textId="77777777" w:rsidR="00593AE9" w:rsidRDefault="00593AE9" w:rsidP="0022344D"/>
    <w:p w14:paraId="4CE107C0" w14:textId="77777777" w:rsidR="00593AE9" w:rsidRDefault="00593AE9" w:rsidP="0022344D"/>
    <w:p w14:paraId="6FF337A0" w14:textId="77777777" w:rsidR="00593AE9" w:rsidRDefault="00593AE9" w:rsidP="0022344D"/>
    <w:p w14:paraId="60A9DE06" w14:textId="77777777" w:rsidR="00593AE9" w:rsidRDefault="00593AE9" w:rsidP="0022344D"/>
    <w:p w14:paraId="6FB77168" w14:textId="77777777" w:rsidR="00593AE9" w:rsidRDefault="00593AE9" w:rsidP="0022344D"/>
    <w:p w14:paraId="6B868BD4" w14:textId="77777777" w:rsidR="00593AE9" w:rsidRDefault="00593AE9"/>
    <w:p w14:paraId="23AF372F" w14:textId="77777777" w:rsidR="00593AE9" w:rsidRDefault="00593AE9"/>
    <w:p w14:paraId="13E4C099" w14:textId="77777777" w:rsidR="00593AE9" w:rsidRDefault="00593AE9" w:rsidP="00BD5398"/>
    <w:p w14:paraId="49BD5BBD" w14:textId="77777777" w:rsidR="00593AE9" w:rsidRDefault="00593AE9" w:rsidP="00BD5398"/>
    <w:p w14:paraId="0075374F" w14:textId="77777777" w:rsidR="00593AE9" w:rsidRDefault="00593AE9" w:rsidP="00BD5398"/>
  </w:endnote>
  <w:endnote w:type="continuationSeparator" w:id="0">
    <w:p w14:paraId="03E69A80" w14:textId="77777777" w:rsidR="00593AE9" w:rsidRDefault="00593AE9" w:rsidP="0022344D">
      <w:r>
        <w:continuationSeparator/>
      </w:r>
    </w:p>
    <w:p w14:paraId="40C1E53F" w14:textId="77777777" w:rsidR="00593AE9" w:rsidRDefault="00593AE9" w:rsidP="0022344D"/>
    <w:p w14:paraId="698481AE" w14:textId="77777777" w:rsidR="00593AE9" w:rsidRDefault="00593AE9" w:rsidP="0022344D"/>
    <w:p w14:paraId="1B6FE600" w14:textId="77777777" w:rsidR="00593AE9" w:rsidRDefault="00593AE9" w:rsidP="0022344D"/>
    <w:p w14:paraId="2ED75628" w14:textId="77777777" w:rsidR="00593AE9" w:rsidRDefault="00593AE9" w:rsidP="0022344D"/>
    <w:p w14:paraId="1611134D" w14:textId="77777777" w:rsidR="00593AE9" w:rsidRDefault="00593AE9" w:rsidP="0022344D"/>
    <w:p w14:paraId="281E317D" w14:textId="77777777" w:rsidR="00593AE9" w:rsidRDefault="00593AE9" w:rsidP="0022344D"/>
    <w:p w14:paraId="295D4AF3" w14:textId="77777777" w:rsidR="00593AE9" w:rsidRDefault="00593AE9" w:rsidP="0022344D"/>
    <w:p w14:paraId="7B110B24" w14:textId="77777777" w:rsidR="00593AE9" w:rsidRDefault="00593AE9" w:rsidP="0022344D"/>
    <w:p w14:paraId="57E54D20" w14:textId="77777777" w:rsidR="00593AE9" w:rsidRDefault="00593AE9" w:rsidP="0022344D"/>
    <w:p w14:paraId="12CCB7CB" w14:textId="77777777" w:rsidR="00593AE9" w:rsidRDefault="00593AE9" w:rsidP="0022344D"/>
    <w:p w14:paraId="52B3A130" w14:textId="77777777" w:rsidR="00593AE9" w:rsidRDefault="00593AE9" w:rsidP="0022344D"/>
    <w:p w14:paraId="503BA25A" w14:textId="77777777" w:rsidR="00593AE9" w:rsidRDefault="00593AE9" w:rsidP="0022344D"/>
    <w:p w14:paraId="1AD03076" w14:textId="77777777" w:rsidR="00593AE9" w:rsidRDefault="00593AE9" w:rsidP="0022344D"/>
    <w:p w14:paraId="3FDFE992" w14:textId="77777777" w:rsidR="00593AE9" w:rsidRDefault="00593AE9" w:rsidP="0022344D"/>
    <w:p w14:paraId="0C10638E" w14:textId="77777777" w:rsidR="00593AE9" w:rsidRDefault="00593AE9" w:rsidP="0022344D"/>
    <w:p w14:paraId="6BC7E612" w14:textId="77777777" w:rsidR="00593AE9" w:rsidRDefault="00593AE9" w:rsidP="0022344D"/>
    <w:p w14:paraId="6ED2362D" w14:textId="77777777" w:rsidR="00593AE9" w:rsidRDefault="00593AE9" w:rsidP="0022344D"/>
    <w:p w14:paraId="11753CEF" w14:textId="77777777" w:rsidR="00593AE9" w:rsidRDefault="00593AE9" w:rsidP="0022344D"/>
    <w:p w14:paraId="59AF558B" w14:textId="77777777" w:rsidR="00593AE9" w:rsidRDefault="00593AE9" w:rsidP="0022344D"/>
    <w:p w14:paraId="3671A298" w14:textId="77777777" w:rsidR="00593AE9" w:rsidRDefault="00593AE9" w:rsidP="0022344D"/>
    <w:p w14:paraId="407766AD" w14:textId="77777777" w:rsidR="00593AE9" w:rsidRDefault="00593AE9" w:rsidP="0022344D"/>
    <w:p w14:paraId="3FAAE34C" w14:textId="77777777" w:rsidR="00593AE9" w:rsidRDefault="00593AE9" w:rsidP="0022344D"/>
    <w:p w14:paraId="19DEBC65" w14:textId="77777777" w:rsidR="00593AE9" w:rsidRDefault="00593AE9" w:rsidP="0022344D"/>
    <w:p w14:paraId="10EE23BE" w14:textId="77777777" w:rsidR="00593AE9" w:rsidRDefault="00593AE9" w:rsidP="0022344D"/>
    <w:p w14:paraId="1ADDFA94" w14:textId="77777777" w:rsidR="00593AE9" w:rsidRDefault="00593AE9" w:rsidP="0022344D"/>
    <w:p w14:paraId="50E2CF57" w14:textId="77777777" w:rsidR="00593AE9" w:rsidRDefault="00593AE9" w:rsidP="0022344D"/>
    <w:p w14:paraId="283912B3" w14:textId="77777777" w:rsidR="00593AE9" w:rsidRDefault="00593AE9" w:rsidP="0022344D"/>
    <w:p w14:paraId="308F2B8E" w14:textId="77777777" w:rsidR="00593AE9" w:rsidRDefault="00593AE9" w:rsidP="0022344D"/>
    <w:p w14:paraId="7F86A7D8" w14:textId="77777777" w:rsidR="00593AE9" w:rsidRDefault="00593AE9" w:rsidP="0022344D"/>
    <w:p w14:paraId="6BE211B0" w14:textId="77777777" w:rsidR="00593AE9" w:rsidRDefault="00593AE9" w:rsidP="0022344D"/>
    <w:p w14:paraId="5ACD6F51" w14:textId="77777777" w:rsidR="00593AE9" w:rsidRDefault="00593AE9" w:rsidP="0022344D"/>
    <w:p w14:paraId="1634634D" w14:textId="77777777" w:rsidR="00593AE9" w:rsidRDefault="00593AE9" w:rsidP="0022344D"/>
    <w:p w14:paraId="72D23186" w14:textId="77777777" w:rsidR="00593AE9" w:rsidRDefault="00593AE9" w:rsidP="0022344D"/>
    <w:p w14:paraId="04C2D67F" w14:textId="77777777" w:rsidR="00593AE9" w:rsidRDefault="00593AE9" w:rsidP="0022344D"/>
    <w:p w14:paraId="41AB8082" w14:textId="77777777" w:rsidR="00593AE9" w:rsidRDefault="00593AE9" w:rsidP="0022344D"/>
    <w:p w14:paraId="6B6DC1CF" w14:textId="77777777" w:rsidR="00593AE9" w:rsidRDefault="00593AE9" w:rsidP="0022344D"/>
    <w:p w14:paraId="6CB10015" w14:textId="77777777" w:rsidR="00593AE9" w:rsidRDefault="00593AE9" w:rsidP="0022344D"/>
    <w:p w14:paraId="5D5D1665" w14:textId="77777777" w:rsidR="00593AE9" w:rsidRDefault="00593AE9" w:rsidP="0022344D"/>
    <w:p w14:paraId="573108C4" w14:textId="77777777" w:rsidR="00593AE9" w:rsidRDefault="00593AE9" w:rsidP="0022344D"/>
    <w:p w14:paraId="0F2A2C82" w14:textId="77777777" w:rsidR="00593AE9" w:rsidRDefault="00593AE9" w:rsidP="0022344D"/>
    <w:p w14:paraId="5FFA40E1" w14:textId="77777777" w:rsidR="00593AE9" w:rsidRDefault="00593AE9" w:rsidP="0022344D"/>
    <w:p w14:paraId="1E97E6C9" w14:textId="77777777" w:rsidR="00593AE9" w:rsidRDefault="00593AE9" w:rsidP="0022344D"/>
    <w:p w14:paraId="447D67D7" w14:textId="77777777" w:rsidR="00593AE9" w:rsidRDefault="00593AE9" w:rsidP="0022344D"/>
    <w:p w14:paraId="1A056D23" w14:textId="77777777" w:rsidR="00593AE9" w:rsidRDefault="00593AE9" w:rsidP="0022344D"/>
    <w:p w14:paraId="5D389CDF" w14:textId="77777777" w:rsidR="00593AE9" w:rsidRDefault="00593AE9" w:rsidP="0022344D"/>
    <w:p w14:paraId="5FE709F3" w14:textId="77777777" w:rsidR="00593AE9" w:rsidRDefault="00593AE9" w:rsidP="0022344D"/>
    <w:p w14:paraId="3D75A18B" w14:textId="77777777" w:rsidR="00593AE9" w:rsidRDefault="00593AE9" w:rsidP="0022344D"/>
    <w:p w14:paraId="64C32B68" w14:textId="77777777" w:rsidR="00593AE9" w:rsidRDefault="00593AE9" w:rsidP="0022344D"/>
    <w:p w14:paraId="2E6533C9" w14:textId="77777777" w:rsidR="00593AE9" w:rsidRDefault="00593AE9" w:rsidP="0022344D"/>
    <w:p w14:paraId="7B807B49" w14:textId="77777777" w:rsidR="00593AE9" w:rsidRDefault="00593AE9" w:rsidP="0022344D"/>
    <w:p w14:paraId="0B06947C" w14:textId="77777777" w:rsidR="00593AE9" w:rsidRDefault="00593AE9" w:rsidP="0022344D"/>
    <w:p w14:paraId="167B215B" w14:textId="77777777" w:rsidR="00593AE9" w:rsidRDefault="00593AE9" w:rsidP="0022344D"/>
    <w:p w14:paraId="0CBB5E67" w14:textId="77777777" w:rsidR="00593AE9" w:rsidRDefault="00593AE9" w:rsidP="0022344D"/>
    <w:p w14:paraId="0B214DB1" w14:textId="77777777" w:rsidR="00593AE9" w:rsidRDefault="00593AE9" w:rsidP="0022344D"/>
    <w:p w14:paraId="17AE4297" w14:textId="77777777" w:rsidR="00593AE9" w:rsidRDefault="00593AE9" w:rsidP="0022344D"/>
    <w:p w14:paraId="133D52AE" w14:textId="77777777" w:rsidR="00593AE9" w:rsidRDefault="00593AE9" w:rsidP="0022344D"/>
    <w:p w14:paraId="32999D0D" w14:textId="77777777" w:rsidR="00593AE9" w:rsidRDefault="00593AE9" w:rsidP="0022344D"/>
    <w:p w14:paraId="4A2ACC45" w14:textId="77777777" w:rsidR="00593AE9" w:rsidRDefault="00593AE9" w:rsidP="0022344D"/>
    <w:p w14:paraId="66EB5705" w14:textId="77777777" w:rsidR="00593AE9" w:rsidRDefault="00593AE9" w:rsidP="0022344D"/>
    <w:p w14:paraId="6D76407E" w14:textId="77777777" w:rsidR="00593AE9" w:rsidRDefault="00593AE9" w:rsidP="0022344D"/>
    <w:p w14:paraId="6C950E44" w14:textId="77777777" w:rsidR="00593AE9" w:rsidRDefault="00593AE9" w:rsidP="0022344D"/>
    <w:p w14:paraId="2D514782" w14:textId="77777777" w:rsidR="00593AE9" w:rsidRDefault="00593AE9" w:rsidP="0022344D"/>
    <w:p w14:paraId="223102FF" w14:textId="77777777" w:rsidR="00593AE9" w:rsidRDefault="00593AE9" w:rsidP="0022344D"/>
    <w:p w14:paraId="4D4CB007" w14:textId="77777777" w:rsidR="00593AE9" w:rsidRDefault="00593AE9" w:rsidP="0022344D"/>
    <w:p w14:paraId="1209C9A6" w14:textId="77777777" w:rsidR="00593AE9" w:rsidRDefault="00593AE9" w:rsidP="0022344D"/>
    <w:p w14:paraId="1C899543" w14:textId="77777777" w:rsidR="00593AE9" w:rsidRDefault="00593AE9" w:rsidP="0022344D"/>
    <w:p w14:paraId="652FE868" w14:textId="77777777" w:rsidR="00593AE9" w:rsidRDefault="00593AE9" w:rsidP="0022344D"/>
    <w:p w14:paraId="79F3B90A" w14:textId="77777777" w:rsidR="00593AE9" w:rsidRDefault="00593AE9" w:rsidP="0022344D"/>
    <w:p w14:paraId="160EBDFB" w14:textId="77777777" w:rsidR="00593AE9" w:rsidRDefault="00593AE9" w:rsidP="0022344D"/>
    <w:p w14:paraId="4E9AF7B6" w14:textId="77777777" w:rsidR="00593AE9" w:rsidRDefault="00593AE9" w:rsidP="0022344D"/>
    <w:p w14:paraId="2A1DDD6E" w14:textId="77777777" w:rsidR="00593AE9" w:rsidRDefault="00593AE9" w:rsidP="0022344D"/>
    <w:p w14:paraId="56C49668" w14:textId="77777777" w:rsidR="00593AE9" w:rsidRDefault="00593AE9" w:rsidP="0022344D"/>
    <w:p w14:paraId="4ECAFEA1" w14:textId="77777777" w:rsidR="00593AE9" w:rsidRDefault="00593AE9" w:rsidP="0022344D"/>
    <w:p w14:paraId="5C974113" w14:textId="77777777" w:rsidR="00593AE9" w:rsidRDefault="00593AE9"/>
    <w:p w14:paraId="31A866E5" w14:textId="77777777" w:rsidR="00593AE9" w:rsidRDefault="00593AE9"/>
    <w:p w14:paraId="248035BC" w14:textId="77777777" w:rsidR="00593AE9" w:rsidRDefault="00593AE9" w:rsidP="00BD5398"/>
    <w:p w14:paraId="659A3F44" w14:textId="77777777" w:rsidR="00593AE9" w:rsidRDefault="00593AE9" w:rsidP="00BD5398"/>
    <w:p w14:paraId="697A08F7" w14:textId="77777777" w:rsidR="00593AE9" w:rsidRDefault="00593AE9" w:rsidP="00BD5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BD5398" w:rsidRPr="00586362" w:rsidRDefault="00BD5398" w:rsidP="0022344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BC0193">
          <w:rPr>
            <w:noProof/>
          </w:rPr>
          <w:t>2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proofErr w:type="spellStart"/>
        <w:r w:rsidRPr="00586362">
          <w:rPr>
            <w:b/>
          </w:rPr>
          <w:t>Elering</w:t>
        </w:r>
        <w:proofErr w:type="spellEnd"/>
        <w:r w:rsidRPr="00586362">
          <w:rPr>
            <w:b/>
          </w:rPr>
          <w:t xml:space="preserve">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BD5398" w:rsidRPr="00EB0393" w:rsidRDefault="00BD5398" w:rsidP="0022344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BD5398" w:rsidRDefault="00BC0193" w:rsidP="0022344D">
        <w:pPr>
          <w:pStyle w:val="Footer"/>
        </w:pPr>
      </w:p>
    </w:sdtContent>
  </w:sdt>
  <w:p w14:paraId="52FDBFFC" w14:textId="17F8B18B" w:rsidR="00BD5398" w:rsidRPr="00E43D13" w:rsidRDefault="00BD5398" w:rsidP="0022344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51DC9" w14:textId="77777777" w:rsidR="00593AE9" w:rsidRDefault="00593AE9" w:rsidP="0022344D">
      <w:r>
        <w:separator/>
      </w:r>
    </w:p>
    <w:p w14:paraId="379466CF" w14:textId="77777777" w:rsidR="00593AE9" w:rsidRDefault="00593AE9" w:rsidP="0022344D"/>
    <w:p w14:paraId="5338F548" w14:textId="77777777" w:rsidR="00593AE9" w:rsidRDefault="00593AE9" w:rsidP="0022344D"/>
    <w:p w14:paraId="4B269C14" w14:textId="77777777" w:rsidR="00593AE9" w:rsidRDefault="00593AE9" w:rsidP="0022344D"/>
    <w:p w14:paraId="233E8BB3" w14:textId="77777777" w:rsidR="00593AE9" w:rsidRDefault="00593AE9" w:rsidP="0022344D"/>
    <w:p w14:paraId="3182231A" w14:textId="77777777" w:rsidR="00593AE9" w:rsidRDefault="00593AE9" w:rsidP="0022344D"/>
    <w:p w14:paraId="68896473" w14:textId="77777777" w:rsidR="00593AE9" w:rsidRDefault="00593AE9" w:rsidP="0022344D"/>
    <w:p w14:paraId="79DF7EF8" w14:textId="77777777" w:rsidR="00593AE9" w:rsidRDefault="00593AE9" w:rsidP="0022344D"/>
    <w:p w14:paraId="0E16DF37" w14:textId="77777777" w:rsidR="00593AE9" w:rsidRDefault="00593AE9" w:rsidP="0022344D"/>
    <w:p w14:paraId="1E7E02D8" w14:textId="77777777" w:rsidR="00593AE9" w:rsidRDefault="00593AE9" w:rsidP="0022344D"/>
    <w:p w14:paraId="633FE558" w14:textId="77777777" w:rsidR="00593AE9" w:rsidRDefault="00593AE9" w:rsidP="0022344D"/>
    <w:p w14:paraId="254E48BF" w14:textId="77777777" w:rsidR="00593AE9" w:rsidRDefault="00593AE9" w:rsidP="0022344D"/>
    <w:p w14:paraId="474990D1" w14:textId="77777777" w:rsidR="00593AE9" w:rsidRDefault="00593AE9" w:rsidP="0022344D"/>
    <w:p w14:paraId="6C457C10" w14:textId="77777777" w:rsidR="00593AE9" w:rsidRDefault="00593AE9" w:rsidP="0022344D"/>
    <w:p w14:paraId="40B55F5C" w14:textId="77777777" w:rsidR="00593AE9" w:rsidRDefault="00593AE9" w:rsidP="0022344D"/>
    <w:p w14:paraId="09181555" w14:textId="77777777" w:rsidR="00593AE9" w:rsidRDefault="00593AE9" w:rsidP="0022344D"/>
    <w:p w14:paraId="7BF7073C" w14:textId="77777777" w:rsidR="00593AE9" w:rsidRDefault="00593AE9" w:rsidP="0022344D"/>
    <w:p w14:paraId="4EDD9330" w14:textId="77777777" w:rsidR="00593AE9" w:rsidRDefault="00593AE9" w:rsidP="0022344D"/>
    <w:p w14:paraId="25648529" w14:textId="77777777" w:rsidR="00593AE9" w:rsidRDefault="00593AE9" w:rsidP="0022344D"/>
    <w:p w14:paraId="1C553EE1" w14:textId="77777777" w:rsidR="00593AE9" w:rsidRDefault="00593AE9" w:rsidP="0022344D"/>
    <w:p w14:paraId="0D59EE12" w14:textId="77777777" w:rsidR="00593AE9" w:rsidRDefault="00593AE9" w:rsidP="0022344D"/>
    <w:p w14:paraId="4E0EE215" w14:textId="77777777" w:rsidR="00593AE9" w:rsidRDefault="00593AE9" w:rsidP="0022344D"/>
    <w:p w14:paraId="2C042CA7" w14:textId="77777777" w:rsidR="00593AE9" w:rsidRDefault="00593AE9" w:rsidP="0022344D"/>
    <w:p w14:paraId="3731C129" w14:textId="77777777" w:rsidR="00593AE9" w:rsidRDefault="00593AE9" w:rsidP="0022344D"/>
    <w:p w14:paraId="0ACC081B" w14:textId="77777777" w:rsidR="00593AE9" w:rsidRDefault="00593AE9" w:rsidP="0022344D"/>
    <w:p w14:paraId="505FAEDA" w14:textId="77777777" w:rsidR="00593AE9" w:rsidRDefault="00593AE9" w:rsidP="0022344D"/>
    <w:p w14:paraId="01C3C022" w14:textId="77777777" w:rsidR="00593AE9" w:rsidRDefault="00593AE9" w:rsidP="0022344D"/>
    <w:p w14:paraId="4DAE9126" w14:textId="77777777" w:rsidR="00593AE9" w:rsidRDefault="00593AE9" w:rsidP="0022344D"/>
    <w:p w14:paraId="3D032C82" w14:textId="77777777" w:rsidR="00593AE9" w:rsidRDefault="00593AE9" w:rsidP="0022344D"/>
    <w:p w14:paraId="3DCF4F91" w14:textId="77777777" w:rsidR="00593AE9" w:rsidRDefault="00593AE9" w:rsidP="0022344D"/>
    <w:p w14:paraId="552C4D6F" w14:textId="77777777" w:rsidR="00593AE9" w:rsidRDefault="00593AE9" w:rsidP="0022344D"/>
    <w:p w14:paraId="1FA37A69" w14:textId="77777777" w:rsidR="00593AE9" w:rsidRDefault="00593AE9" w:rsidP="0022344D"/>
    <w:p w14:paraId="5D9BD4E0" w14:textId="77777777" w:rsidR="00593AE9" w:rsidRDefault="00593AE9" w:rsidP="0022344D"/>
    <w:p w14:paraId="3E428132" w14:textId="77777777" w:rsidR="00593AE9" w:rsidRDefault="00593AE9" w:rsidP="0022344D"/>
    <w:p w14:paraId="1863439E" w14:textId="77777777" w:rsidR="00593AE9" w:rsidRDefault="00593AE9" w:rsidP="0022344D"/>
    <w:p w14:paraId="3325BFD1" w14:textId="77777777" w:rsidR="00593AE9" w:rsidRDefault="00593AE9" w:rsidP="0022344D"/>
    <w:p w14:paraId="4A3C9057" w14:textId="77777777" w:rsidR="00593AE9" w:rsidRDefault="00593AE9" w:rsidP="0022344D"/>
    <w:p w14:paraId="107A242A" w14:textId="77777777" w:rsidR="00593AE9" w:rsidRDefault="00593AE9" w:rsidP="0022344D"/>
    <w:p w14:paraId="38CA0878" w14:textId="77777777" w:rsidR="00593AE9" w:rsidRDefault="00593AE9" w:rsidP="0022344D"/>
    <w:p w14:paraId="39B3B9B0" w14:textId="77777777" w:rsidR="00593AE9" w:rsidRDefault="00593AE9" w:rsidP="0022344D"/>
    <w:p w14:paraId="3EE76376" w14:textId="77777777" w:rsidR="00593AE9" w:rsidRDefault="00593AE9" w:rsidP="0022344D"/>
    <w:p w14:paraId="4DDF8D7E" w14:textId="77777777" w:rsidR="00593AE9" w:rsidRDefault="00593AE9" w:rsidP="0022344D"/>
    <w:p w14:paraId="1443FCA2" w14:textId="77777777" w:rsidR="00593AE9" w:rsidRDefault="00593AE9" w:rsidP="0022344D"/>
    <w:p w14:paraId="0F3F8EDF" w14:textId="77777777" w:rsidR="00593AE9" w:rsidRDefault="00593AE9" w:rsidP="0022344D"/>
    <w:p w14:paraId="1458C773" w14:textId="77777777" w:rsidR="00593AE9" w:rsidRDefault="00593AE9" w:rsidP="0022344D"/>
    <w:p w14:paraId="2CE8305D" w14:textId="77777777" w:rsidR="00593AE9" w:rsidRDefault="00593AE9" w:rsidP="0022344D"/>
    <w:p w14:paraId="6294325B" w14:textId="77777777" w:rsidR="00593AE9" w:rsidRDefault="00593AE9" w:rsidP="0022344D"/>
    <w:p w14:paraId="6A5CAD57" w14:textId="77777777" w:rsidR="00593AE9" w:rsidRDefault="00593AE9" w:rsidP="0022344D"/>
    <w:p w14:paraId="0072CC1C" w14:textId="77777777" w:rsidR="00593AE9" w:rsidRDefault="00593AE9" w:rsidP="0022344D"/>
    <w:p w14:paraId="4F0CF80E" w14:textId="77777777" w:rsidR="00593AE9" w:rsidRDefault="00593AE9" w:rsidP="0022344D"/>
    <w:p w14:paraId="3F951F88" w14:textId="77777777" w:rsidR="00593AE9" w:rsidRDefault="00593AE9" w:rsidP="0022344D"/>
    <w:p w14:paraId="56E77FAB" w14:textId="77777777" w:rsidR="00593AE9" w:rsidRDefault="00593AE9" w:rsidP="0022344D"/>
    <w:p w14:paraId="0A19A61B" w14:textId="77777777" w:rsidR="00593AE9" w:rsidRDefault="00593AE9" w:rsidP="0022344D"/>
    <w:p w14:paraId="15060B44" w14:textId="77777777" w:rsidR="00593AE9" w:rsidRDefault="00593AE9" w:rsidP="0022344D"/>
    <w:p w14:paraId="23EADEAF" w14:textId="77777777" w:rsidR="00593AE9" w:rsidRDefault="00593AE9" w:rsidP="0022344D"/>
    <w:p w14:paraId="046DB525" w14:textId="77777777" w:rsidR="00593AE9" w:rsidRDefault="00593AE9" w:rsidP="0022344D"/>
    <w:p w14:paraId="7FCB108C" w14:textId="77777777" w:rsidR="00593AE9" w:rsidRDefault="00593AE9" w:rsidP="0022344D"/>
    <w:p w14:paraId="2C46CF56" w14:textId="77777777" w:rsidR="00593AE9" w:rsidRDefault="00593AE9" w:rsidP="0022344D"/>
    <w:p w14:paraId="338CCF1D" w14:textId="77777777" w:rsidR="00593AE9" w:rsidRDefault="00593AE9" w:rsidP="0022344D"/>
    <w:p w14:paraId="3BF26034" w14:textId="77777777" w:rsidR="00593AE9" w:rsidRDefault="00593AE9" w:rsidP="0022344D"/>
    <w:p w14:paraId="5C618E78" w14:textId="77777777" w:rsidR="00593AE9" w:rsidRDefault="00593AE9" w:rsidP="0022344D"/>
    <w:p w14:paraId="25A37ACC" w14:textId="77777777" w:rsidR="00593AE9" w:rsidRDefault="00593AE9" w:rsidP="0022344D"/>
    <w:p w14:paraId="0BAA987D" w14:textId="77777777" w:rsidR="00593AE9" w:rsidRDefault="00593AE9" w:rsidP="0022344D"/>
    <w:p w14:paraId="2AA8A59D" w14:textId="77777777" w:rsidR="00593AE9" w:rsidRDefault="00593AE9" w:rsidP="0022344D"/>
    <w:p w14:paraId="22E64656" w14:textId="77777777" w:rsidR="00593AE9" w:rsidRDefault="00593AE9" w:rsidP="0022344D"/>
    <w:p w14:paraId="772523F6" w14:textId="77777777" w:rsidR="00593AE9" w:rsidRDefault="00593AE9" w:rsidP="0022344D"/>
    <w:p w14:paraId="66E18296" w14:textId="77777777" w:rsidR="00593AE9" w:rsidRDefault="00593AE9" w:rsidP="0022344D"/>
    <w:p w14:paraId="745B95D2" w14:textId="77777777" w:rsidR="00593AE9" w:rsidRDefault="00593AE9" w:rsidP="0022344D"/>
    <w:p w14:paraId="788F979D" w14:textId="77777777" w:rsidR="00593AE9" w:rsidRDefault="00593AE9" w:rsidP="0022344D"/>
    <w:p w14:paraId="37B86BAE" w14:textId="77777777" w:rsidR="00593AE9" w:rsidRDefault="00593AE9" w:rsidP="0022344D"/>
    <w:p w14:paraId="3907BF9D" w14:textId="77777777" w:rsidR="00593AE9" w:rsidRDefault="00593AE9" w:rsidP="0022344D"/>
    <w:p w14:paraId="794EB5DC" w14:textId="77777777" w:rsidR="00593AE9" w:rsidRDefault="00593AE9" w:rsidP="0022344D"/>
    <w:p w14:paraId="5BA3B23B" w14:textId="77777777" w:rsidR="00593AE9" w:rsidRDefault="00593AE9" w:rsidP="0022344D"/>
    <w:p w14:paraId="31F95E45" w14:textId="77777777" w:rsidR="00593AE9" w:rsidRDefault="00593AE9" w:rsidP="0022344D"/>
    <w:p w14:paraId="46A258EE" w14:textId="77777777" w:rsidR="00593AE9" w:rsidRDefault="00593AE9"/>
    <w:p w14:paraId="5D3A7076" w14:textId="77777777" w:rsidR="00593AE9" w:rsidRDefault="00593AE9"/>
    <w:p w14:paraId="25F93C14" w14:textId="77777777" w:rsidR="00593AE9" w:rsidRDefault="00593AE9" w:rsidP="00BD5398"/>
    <w:p w14:paraId="6582A39B" w14:textId="77777777" w:rsidR="00593AE9" w:rsidRDefault="00593AE9" w:rsidP="00BD5398"/>
    <w:p w14:paraId="5FCB5111" w14:textId="77777777" w:rsidR="00593AE9" w:rsidRDefault="00593AE9" w:rsidP="00BD5398"/>
  </w:footnote>
  <w:footnote w:type="continuationSeparator" w:id="0">
    <w:p w14:paraId="7A024912" w14:textId="77777777" w:rsidR="00593AE9" w:rsidRDefault="00593AE9" w:rsidP="0022344D">
      <w:r>
        <w:continuationSeparator/>
      </w:r>
    </w:p>
    <w:p w14:paraId="44BA235C" w14:textId="77777777" w:rsidR="00593AE9" w:rsidRDefault="00593AE9" w:rsidP="0022344D"/>
    <w:p w14:paraId="33EB68F3" w14:textId="77777777" w:rsidR="00593AE9" w:rsidRDefault="00593AE9" w:rsidP="0022344D"/>
    <w:p w14:paraId="6925F4A9" w14:textId="77777777" w:rsidR="00593AE9" w:rsidRDefault="00593AE9" w:rsidP="0022344D"/>
    <w:p w14:paraId="7027F50C" w14:textId="77777777" w:rsidR="00593AE9" w:rsidRDefault="00593AE9" w:rsidP="0022344D"/>
    <w:p w14:paraId="47F0BEA7" w14:textId="77777777" w:rsidR="00593AE9" w:rsidRDefault="00593AE9" w:rsidP="0022344D"/>
    <w:p w14:paraId="79CED8B8" w14:textId="77777777" w:rsidR="00593AE9" w:rsidRDefault="00593AE9" w:rsidP="0022344D"/>
    <w:p w14:paraId="0F5CF2B3" w14:textId="77777777" w:rsidR="00593AE9" w:rsidRDefault="00593AE9" w:rsidP="0022344D"/>
    <w:p w14:paraId="7BD7670F" w14:textId="77777777" w:rsidR="00593AE9" w:rsidRDefault="00593AE9" w:rsidP="0022344D"/>
    <w:p w14:paraId="1199A6D5" w14:textId="77777777" w:rsidR="00593AE9" w:rsidRDefault="00593AE9" w:rsidP="0022344D"/>
    <w:p w14:paraId="4EA200EF" w14:textId="77777777" w:rsidR="00593AE9" w:rsidRDefault="00593AE9" w:rsidP="0022344D"/>
    <w:p w14:paraId="380ABC92" w14:textId="77777777" w:rsidR="00593AE9" w:rsidRDefault="00593AE9" w:rsidP="0022344D"/>
    <w:p w14:paraId="0EF10E86" w14:textId="77777777" w:rsidR="00593AE9" w:rsidRDefault="00593AE9" w:rsidP="0022344D"/>
    <w:p w14:paraId="50C6EA38" w14:textId="77777777" w:rsidR="00593AE9" w:rsidRDefault="00593AE9" w:rsidP="0022344D"/>
    <w:p w14:paraId="7A144161" w14:textId="77777777" w:rsidR="00593AE9" w:rsidRDefault="00593AE9" w:rsidP="0022344D"/>
    <w:p w14:paraId="761D1AAD" w14:textId="77777777" w:rsidR="00593AE9" w:rsidRDefault="00593AE9" w:rsidP="0022344D"/>
    <w:p w14:paraId="55954307" w14:textId="77777777" w:rsidR="00593AE9" w:rsidRDefault="00593AE9" w:rsidP="0022344D"/>
    <w:p w14:paraId="5A3937D6" w14:textId="77777777" w:rsidR="00593AE9" w:rsidRDefault="00593AE9" w:rsidP="0022344D"/>
    <w:p w14:paraId="601FF3D8" w14:textId="77777777" w:rsidR="00593AE9" w:rsidRDefault="00593AE9" w:rsidP="0022344D"/>
    <w:p w14:paraId="44DA7CE9" w14:textId="77777777" w:rsidR="00593AE9" w:rsidRDefault="00593AE9" w:rsidP="0022344D"/>
    <w:p w14:paraId="0CF6CF83" w14:textId="77777777" w:rsidR="00593AE9" w:rsidRDefault="00593AE9" w:rsidP="0022344D"/>
    <w:p w14:paraId="73839866" w14:textId="77777777" w:rsidR="00593AE9" w:rsidRDefault="00593AE9" w:rsidP="0022344D"/>
    <w:p w14:paraId="1A7A69A8" w14:textId="77777777" w:rsidR="00593AE9" w:rsidRDefault="00593AE9" w:rsidP="0022344D"/>
    <w:p w14:paraId="65341B62" w14:textId="77777777" w:rsidR="00593AE9" w:rsidRDefault="00593AE9" w:rsidP="0022344D"/>
    <w:p w14:paraId="1B0B7823" w14:textId="77777777" w:rsidR="00593AE9" w:rsidRDefault="00593AE9" w:rsidP="0022344D"/>
    <w:p w14:paraId="220CA205" w14:textId="77777777" w:rsidR="00593AE9" w:rsidRDefault="00593AE9" w:rsidP="0022344D"/>
    <w:p w14:paraId="59B06259" w14:textId="77777777" w:rsidR="00593AE9" w:rsidRDefault="00593AE9" w:rsidP="0022344D"/>
    <w:p w14:paraId="5EB9C393" w14:textId="77777777" w:rsidR="00593AE9" w:rsidRDefault="00593AE9" w:rsidP="0022344D"/>
    <w:p w14:paraId="1790D70A" w14:textId="77777777" w:rsidR="00593AE9" w:rsidRDefault="00593AE9" w:rsidP="0022344D"/>
    <w:p w14:paraId="2A965F0B" w14:textId="77777777" w:rsidR="00593AE9" w:rsidRDefault="00593AE9" w:rsidP="0022344D"/>
    <w:p w14:paraId="65C8FC9D" w14:textId="77777777" w:rsidR="00593AE9" w:rsidRDefault="00593AE9" w:rsidP="0022344D"/>
    <w:p w14:paraId="6A900825" w14:textId="77777777" w:rsidR="00593AE9" w:rsidRDefault="00593AE9" w:rsidP="0022344D"/>
    <w:p w14:paraId="32956FF9" w14:textId="77777777" w:rsidR="00593AE9" w:rsidRDefault="00593AE9" w:rsidP="0022344D"/>
    <w:p w14:paraId="29F578F4" w14:textId="77777777" w:rsidR="00593AE9" w:rsidRDefault="00593AE9" w:rsidP="0022344D"/>
    <w:p w14:paraId="492DE5C8" w14:textId="77777777" w:rsidR="00593AE9" w:rsidRDefault="00593AE9" w:rsidP="0022344D"/>
    <w:p w14:paraId="00D50BE4" w14:textId="77777777" w:rsidR="00593AE9" w:rsidRDefault="00593AE9" w:rsidP="0022344D"/>
    <w:p w14:paraId="0835E254" w14:textId="77777777" w:rsidR="00593AE9" w:rsidRDefault="00593AE9" w:rsidP="0022344D"/>
    <w:p w14:paraId="16386259" w14:textId="77777777" w:rsidR="00593AE9" w:rsidRDefault="00593AE9" w:rsidP="0022344D"/>
    <w:p w14:paraId="0C21A74C" w14:textId="77777777" w:rsidR="00593AE9" w:rsidRDefault="00593AE9" w:rsidP="0022344D"/>
    <w:p w14:paraId="021BB7DD" w14:textId="77777777" w:rsidR="00593AE9" w:rsidRDefault="00593AE9" w:rsidP="0022344D"/>
    <w:p w14:paraId="7C693950" w14:textId="77777777" w:rsidR="00593AE9" w:rsidRDefault="00593AE9" w:rsidP="0022344D"/>
    <w:p w14:paraId="6BC8B812" w14:textId="77777777" w:rsidR="00593AE9" w:rsidRDefault="00593AE9" w:rsidP="0022344D"/>
    <w:p w14:paraId="0E4A8965" w14:textId="77777777" w:rsidR="00593AE9" w:rsidRDefault="00593AE9" w:rsidP="0022344D"/>
    <w:p w14:paraId="5C85AF19" w14:textId="77777777" w:rsidR="00593AE9" w:rsidRDefault="00593AE9" w:rsidP="0022344D"/>
    <w:p w14:paraId="0F9B2FE5" w14:textId="77777777" w:rsidR="00593AE9" w:rsidRDefault="00593AE9" w:rsidP="0022344D"/>
    <w:p w14:paraId="4F89278D" w14:textId="77777777" w:rsidR="00593AE9" w:rsidRDefault="00593AE9" w:rsidP="0022344D"/>
    <w:p w14:paraId="5BBF3160" w14:textId="77777777" w:rsidR="00593AE9" w:rsidRDefault="00593AE9" w:rsidP="0022344D"/>
    <w:p w14:paraId="50D611F5" w14:textId="77777777" w:rsidR="00593AE9" w:rsidRDefault="00593AE9" w:rsidP="0022344D"/>
    <w:p w14:paraId="3F7BB4ED" w14:textId="77777777" w:rsidR="00593AE9" w:rsidRDefault="00593AE9" w:rsidP="0022344D"/>
    <w:p w14:paraId="07D8C889" w14:textId="77777777" w:rsidR="00593AE9" w:rsidRDefault="00593AE9" w:rsidP="0022344D"/>
    <w:p w14:paraId="2291DA7B" w14:textId="77777777" w:rsidR="00593AE9" w:rsidRDefault="00593AE9" w:rsidP="0022344D"/>
    <w:p w14:paraId="507768B0" w14:textId="77777777" w:rsidR="00593AE9" w:rsidRDefault="00593AE9" w:rsidP="0022344D"/>
    <w:p w14:paraId="0FF81722" w14:textId="77777777" w:rsidR="00593AE9" w:rsidRDefault="00593AE9" w:rsidP="0022344D"/>
    <w:p w14:paraId="3B9C3C1C" w14:textId="77777777" w:rsidR="00593AE9" w:rsidRDefault="00593AE9" w:rsidP="0022344D"/>
    <w:p w14:paraId="73BABFF5" w14:textId="77777777" w:rsidR="00593AE9" w:rsidRDefault="00593AE9" w:rsidP="0022344D"/>
    <w:p w14:paraId="5E630646" w14:textId="77777777" w:rsidR="00593AE9" w:rsidRDefault="00593AE9" w:rsidP="0022344D"/>
    <w:p w14:paraId="17F49767" w14:textId="77777777" w:rsidR="00593AE9" w:rsidRDefault="00593AE9" w:rsidP="0022344D"/>
    <w:p w14:paraId="1D611A72" w14:textId="77777777" w:rsidR="00593AE9" w:rsidRDefault="00593AE9" w:rsidP="0022344D"/>
    <w:p w14:paraId="31403A97" w14:textId="77777777" w:rsidR="00593AE9" w:rsidRDefault="00593AE9" w:rsidP="0022344D"/>
    <w:p w14:paraId="08148F05" w14:textId="77777777" w:rsidR="00593AE9" w:rsidRDefault="00593AE9" w:rsidP="0022344D"/>
    <w:p w14:paraId="17BF7654" w14:textId="77777777" w:rsidR="00593AE9" w:rsidRDefault="00593AE9" w:rsidP="0022344D"/>
    <w:p w14:paraId="272B413E" w14:textId="77777777" w:rsidR="00593AE9" w:rsidRDefault="00593AE9" w:rsidP="0022344D"/>
    <w:p w14:paraId="4172C15D" w14:textId="77777777" w:rsidR="00593AE9" w:rsidRDefault="00593AE9" w:rsidP="0022344D"/>
    <w:p w14:paraId="6A70DE74" w14:textId="77777777" w:rsidR="00593AE9" w:rsidRDefault="00593AE9" w:rsidP="0022344D"/>
    <w:p w14:paraId="071307E6" w14:textId="77777777" w:rsidR="00593AE9" w:rsidRDefault="00593AE9" w:rsidP="0022344D"/>
    <w:p w14:paraId="0022AA6C" w14:textId="77777777" w:rsidR="00593AE9" w:rsidRDefault="00593AE9" w:rsidP="0022344D"/>
    <w:p w14:paraId="4CF096A0" w14:textId="77777777" w:rsidR="00593AE9" w:rsidRDefault="00593AE9" w:rsidP="0022344D"/>
    <w:p w14:paraId="44CF441B" w14:textId="77777777" w:rsidR="00593AE9" w:rsidRDefault="00593AE9" w:rsidP="0022344D"/>
    <w:p w14:paraId="5E7488B6" w14:textId="77777777" w:rsidR="00593AE9" w:rsidRDefault="00593AE9" w:rsidP="0022344D"/>
    <w:p w14:paraId="37ADA434" w14:textId="77777777" w:rsidR="00593AE9" w:rsidRDefault="00593AE9" w:rsidP="0022344D"/>
    <w:p w14:paraId="1B8142EC" w14:textId="77777777" w:rsidR="00593AE9" w:rsidRDefault="00593AE9" w:rsidP="0022344D"/>
    <w:p w14:paraId="48F11E04" w14:textId="77777777" w:rsidR="00593AE9" w:rsidRDefault="00593AE9" w:rsidP="0022344D"/>
    <w:p w14:paraId="651967D4" w14:textId="77777777" w:rsidR="00593AE9" w:rsidRDefault="00593AE9" w:rsidP="0022344D"/>
    <w:p w14:paraId="1AB10AD5" w14:textId="77777777" w:rsidR="00593AE9" w:rsidRDefault="00593AE9" w:rsidP="0022344D"/>
    <w:p w14:paraId="14F9468D" w14:textId="77777777" w:rsidR="00593AE9" w:rsidRDefault="00593AE9"/>
    <w:p w14:paraId="3A145967" w14:textId="77777777" w:rsidR="00593AE9" w:rsidRDefault="00593AE9"/>
    <w:p w14:paraId="39B69784" w14:textId="77777777" w:rsidR="00593AE9" w:rsidRDefault="00593AE9" w:rsidP="00BD5398"/>
    <w:p w14:paraId="2CDF674A" w14:textId="77777777" w:rsidR="00593AE9" w:rsidRDefault="00593AE9" w:rsidP="00BD5398"/>
    <w:p w14:paraId="118A4E8A" w14:textId="77777777" w:rsidR="00593AE9" w:rsidRDefault="00593AE9" w:rsidP="00BD53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0B1C" w14:textId="77777777" w:rsidR="00BD5398" w:rsidRDefault="00BD5398" w:rsidP="002234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31" name="Picture 31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C3A" w14:textId="77777777" w:rsidR="00BD5398" w:rsidRDefault="00BD5398" w:rsidP="00223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7"/>
  </w:num>
  <w:num w:numId="14">
    <w:abstractNumId w:val="19"/>
  </w:num>
  <w:num w:numId="15">
    <w:abstractNumId w:val="23"/>
  </w:num>
  <w:num w:numId="16">
    <w:abstractNumId w:val="18"/>
  </w:num>
  <w:num w:numId="17">
    <w:abstractNumId w:val="20"/>
  </w:num>
  <w:num w:numId="18">
    <w:abstractNumId w:val="11"/>
  </w:num>
  <w:num w:numId="19">
    <w:abstractNumId w:val="25"/>
  </w:num>
  <w:num w:numId="20">
    <w:abstractNumId w:val="26"/>
  </w:num>
  <w:num w:numId="21">
    <w:abstractNumId w:val="22"/>
  </w:num>
  <w:num w:numId="22">
    <w:abstractNumId w:val="21"/>
  </w:num>
  <w:num w:numId="23">
    <w:abstractNumId w:val="16"/>
  </w:num>
  <w:num w:numId="24">
    <w:abstractNumId w:val="15"/>
  </w:num>
  <w:num w:numId="25">
    <w:abstractNumId w:val="17"/>
  </w:num>
  <w:num w:numId="26">
    <w:abstractNumId w:val="24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E31"/>
    <w:rsid w:val="000140DC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30091"/>
    <w:rsid w:val="000311FC"/>
    <w:rsid w:val="00031352"/>
    <w:rsid w:val="000317FA"/>
    <w:rsid w:val="00031A35"/>
    <w:rsid w:val="00031B26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6E"/>
    <w:rsid w:val="000472FA"/>
    <w:rsid w:val="00047459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E08"/>
    <w:rsid w:val="000A613B"/>
    <w:rsid w:val="000A65B7"/>
    <w:rsid w:val="000A678E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1B50"/>
    <w:rsid w:val="00122B2D"/>
    <w:rsid w:val="00123483"/>
    <w:rsid w:val="00123519"/>
    <w:rsid w:val="001235C7"/>
    <w:rsid w:val="0012370B"/>
    <w:rsid w:val="00124281"/>
    <w:rsid w:val="001248F4"/>
    <w:rsid w:val="00124B0C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86A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EFC"/>
    <w:rsid w:val="001870AD"/>
    <w:rsid w:val="00187312"/>
    <w:rsid w:val="001878AC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37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517"/>
    <w:rsid w:val="001E683E"/>
    <w:rsid w:val="001E6E00"/>
    <w:rsid w:val="001E7462"/>
    <w:rsid w:val="001E7B05"/>
    <w:rsid w:val="001E7B89"/>
    <w:rsid w:val="001E7D55"/>
    <w:rsid w:val="001F0172"/>
    <w:rsid w:val="001F0FD5"/>
    <w:rsid w:val="001F137E"/>
    <w:rsid w:val="001F13D7"/>
    <w:rsid w:val="001F1B49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8B7"/>
    <w:rsid w:val="002B390A"/>
    <w:rsid w:val="002B3A64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2008"/>
    <w:rsid w:val="00312216"/>
    <w:rsid w:val="00312349"/>
    <w:rsid w:val="003127BB"/>
    <w:rsid w:val="0031395C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3001B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99"/>
    <w:rsid w:val="00544D15"/>
    <w:rsid w:val="00545BD1"/>
    <w:rsid w:val="00546686"/>
    <w:rsid w:val="00546999"/>
    <w:rsid w:val="00546AF7"/>
    <w:rsid w:val="005472BB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4F4"/>
    <w:rsid w:val="006E3A8B"/>
    <w:rsid w:val="006E47AC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C0"/>
    <w:rsid w:val="007345A9"/>
    <w:rsid w:val="00734841"/>
    <w:rsid w:val="00734F76"/>
    <w:rsid w:val="0073562C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D018F"/>
    <w:rsid w:val="007D078D"/>
    <w:rsid w:val="007D08A8"/>
    <w:rsid w:val="007D08F2"/>
    <w:rsid w:val="007D15F6"/>
    <w:rsid w:val="007D1D6B"/>
    <w:rsid w:val="007D1DDF"/>
    <w:rsid w:val="007D26D4"/>
    <w:rsid w:val="007D271C"/>
    <w:rsid w:val="007D2EDA"/>
    <w:rsid w:val="007D35C6"/>
    <w:rsid w:val="007D40F7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A0F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95D"/>
    <w:rsid w:val="00824EDB"/>
    <w:rsid w:val="00825276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D8C"/>
    <w:rsid w:val="008F5FC4"/>
    <w:rsid w:val="008F678E"/>
    <w:rsid w:val="008F6B66"/>
    <w:rsid w:val="008F7258"/>
    <w:rsid w:val="008F7737"/>
    <w:rsid w:val="008F78EB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C55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5418"/>
    <w:rsid w:val="00915E3B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DEB"/>
    <w:rsid w:val="00920F9C"/>
    <w:rsid w:val="0092107D"/>
    <w:rsid w:val="009215A9"/>
    <w:rsid w:val="00921638"/>
    <w:rsid w:val="00921AAF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D6C"/>
    <w:rsid w:val="00963106"/>
    <w:rsid w:val="009633C6"/>
    <w:rsid w:val="009634E7"/>
    <w:rsid w:val="00963560"/>
    <w:rsid w:val="00963FA0"/>
    <w:rsid w:val="009641AD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3A7"/>
    <w:rsid w:val="0097055F"/>
    <w:rsid w:val="009707D8"/>
    <w:rsid w:val="009709AA"/>
    <w:rsid w:val="00971692"/>
    <w:rsid w:val="0097192D"/>
    <w:rsid w:val="0097203B"/>
    <w:rsid w:val="0097232B"/>
    <w:rsid w:val="00972899"/>
    <w:rsid w:val="00972B51"/>
    <w:rsid w:val="00973013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722D"/>
    <w:rsid w:val="009C774C"/>
    <w:rsid w:val="009C7779"/>
    <w:rsid w:val="009C793F"/>
    <w:rsid w:val="009C7AA0"/>
    <w:rsid w:val="009C7C9F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33E"/>
    <w:rsid w:val="009E3399"/>
    <w:rsid w:val="009E3DEC"/>
    <w:rsid w:val="009E4502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2C2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673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4CB9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1"/>
    <w:rsid w:val="00BA7A57"/>
    <w:rsid w:val="00BA7AE1"/>
    <w:rsid w:val="00BB0231"/>
    <w:rsid w:val="00BB04F1"/>
    <w:rsid w:val="00BB09BE"/>
    <w:rsid w:val="00BB0A6F"/>
    <w:rsid w:val="00BB1746"/>
    <w:rsid w:val="00BB1D84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595D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9D8"/>
    <w:rsid w:val="00CD5F7E"/>
    <w:rsid w:val="00CD6011"/>
    <w:rsid w:val="00CD6579"/>
    <w:rsid w:val="00CD7743"/>
    <w:rsid w:val="00CE06A0"/>
    <w:rsid w:val="00CE08E0"/>
    <w:rsid w:val="00CE0C8D"/>
    <w:rsid w:val="00CE15C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3AC"/>
    <w:rsid w:val="00D3572B"/>
    <w:rsid w:val="00D35FE8"/>
    <w:rsid w:val="00D365AE"/>
    <w:rsid w:val="00D366A2"/>
    <w:rsid w:val="00D368B6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70A6"/>
    <w:rsid w:val="00D87137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E8C"/>
    <w:rsid w:val="00DA5F0D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240E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306D"/>
    <w:rsid w:val="00E83658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753"/>
    <w:rsid w:val="00F02D4A"/>
    <w:rsid w:val="00F03AF7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755A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FC"/>
    <w:rsid w:val="00F36135"/>
    <w:rsid w:val="00F364D9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C2B109BF-82EF-4477-962B-5514BEC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2344D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elering.ee/limiteeritud-ptr-ide-oksjon-2016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315F2-4805-4DD6-ACA1-9A7D5968D53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250298-22DA-483C-9461-5BC04E1E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1936</Words>
  <Characters>13068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14975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Kajali Kotsar</cp:lastModifiedBy>
  <cp:revision>27</cp:revision>
  <cp:lastPrinted>2016-01-21T12:50:00Z</cp:lastPrinted>
  <dcterms:created xsi:type="dcterms:W3CDTF">2016-04-04T05:51:00Z</dcterms:created>
  <dcterms:modified xsi:type="dcterms:W3CDTF">2016-04-06T12:39:00Z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