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89E0" w14:textId="745F9221" w:rsidR="00F209D9" w:rsidRPr="00330CD0" w:rsidRDefault="00B34639" w:rsidP="00A91DA5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30CD0">
        <w:rPr>
          <w:rFonts w:cstheme="minorHAnsi"/>
          <w:b/>
          <w:bCs/>
          <w:sz w:val="28"/>
          <w:szCs w:val="28"/>
          <w:shd w:val="clear" w:color="auto" w:fill="FFFFFF"/>
        </w:rPr>
        <w:t>Balticcon</w:t>
      </w:r>
      <w:r w:rsidR="00330CD0" w:rsidRPr="00330CD0">
        <w:rPr>
          <w:rFonts w:cstheme="minorHAnsi"/>
          <w:b/>
          <w:bCs/>
          <w:sz w:val="28"/>
          <w:szCs w:val="28"/>
          <w:shd w:val="clear" w:color="auto" w:fill="FFFFFF"/>
        </w:rPr>
        <w:t xml:space="preserve">nector capacity </w:t>
      </w:r>
      <w:r w:rsidR="00C35048">
        <w:rPr>
          <w:rFonts w:cstheme="minorHAnsi"/>
          <w:b/>
          <w:bCs/>
          <w:sz w:val="28"/>
          <w:szCs w:val="28"/>
          <w:shd w:val="clear" w:color="auto" w:fill="FFFFFF"/>
        </w:rPr>
        <w:t>allocation</w:t>
      </w:r>
    </w:p>
    <w:p w14:paraId="7B24751D" w14:textId="3C68FDA1" w:rsidR="00A91DA5" w:rsidRDefault="00A91DA5" w:rsidP="00A91DA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Balticconnector will start its commercial operations from 1</w:t>
      </w:r>
      <w:r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of January 2020. The maximum technical capacity of Balticconnector is 81,2 GWh/day. </w:t>
      </w:r>
    </w:p>
    <w:p w14:paraId="6A3905F4" w14:textId="77777777" w:rsidR="00A91DA5" w:rsidRDefault="00A91DA5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Balticconnector capacity shall be allocated in part of day-ahead and within-day products on the basis of:</w:t>
      </w:r>
    </w:p>
    <w:p w14:paraId="28A64080" w14:textId="77777777" w:rsidR="00A91DA5" w:rsidRDefault="00A91DA5" w:rsidP="00A91D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Shippers’ confirmed nominations via Transmission System Operator’s (TSO’s) platform</w:t>
      </w:r>
    </w:p>
    <w:p w14:paraId="39CD217A" w14:textId="204CB878" w:rsidR="00A91DA5" w:rsidRPr="00C638CC" w:rsidRDefault="00A91DA5" w:rsidP="00C638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Cross-border trades on the trading platform of GET Baltic gas exchange. </w:t>
      </w:r>
    </w:p>
    <w:p w14:paraId="273E7A97" w14:textId="7E49E1EB" w:rsidR="00A91DA5" w:rsidRDefault="00A91DA5" w:rsidP="00A91DA5">
      <w:pPr>
        <w:rPr>
          <w:rFonts w:cstheme="minorHAnsi"/>
          <w:sz w:val="24"/>
          <w:szCs w:val="24"/>
        </w:rPr>
      </w:pPr>
      <w:r w:rsidRPr="00CF4076">
        <w:rPr>
          <w:rFonts w:cstheme="minorHAnsi"/>
          <w:sz w:val="24"/>
          <w:szCs w:val="24"/>
        </w:rPr>
        <w:t xml:space="preserve">The indicative capacity </w:t>
      </w:r>
      <w:r w:rsidR="002878A5">
        <w:rPr>
          <w:rFonts w:cstheme="minorHAnsi"/>
          <w:sz w:val="24"/>
          <w:szCs w:val="24"/>
        </w:rPr>
        <w:t>shares</w:t>
      </w:r>
      <w:r w:rsidRPr="00CF4076">
        <w:rPr>
          <w:rFonts w:cstheme="minorHAnsi"/>
          <w:sz w:val="24"/>
          <w:szCs w:val="24"/>
        </w:rPr>
        <w:t xml:space="preserve"> between TSO’s platform and GET Baltic’s trading platform is planned to be as </w:t>
      </w:r>
      <w:r>
        <w:rPr>
          <w:rFonts w:cstheme="minorHAnsi"/>
          <w:sz w:val="24"/>
          <w:szCs w:val="24"/>
        </w:rPr>
        <w:t xml:space="preserve">follows: </w:t>
      </w:r>
    </w:p>
    <w:p w14:paraId="2E4CDC9C" w14:textId="0310323C" w:rsidR="00A91DA5" w:rsidRDefault="00D6634E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91DA5">
        <w:rPr>
          <w:rFonts w:cstheme="minorHAnsi"/>
          <w:sz w:val="24"/>
          <w:szCs w:val="24"/>
        </w:rPr>
        <w:t>ay-ahead capacity:</w:t>
      </w:r>
    </w:p>
    <w:p w14:paraId="55B8119B" w14:textId="4A5EBEB8" w:rsidR="00A91DA5" w:rsidRDefault="00A91DA5" w:rsidP="00A91D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normal conditions (no congestion):</w:t>
      </w:r>
    </w:p>
    <w:p w14:paraId="37B2776E" w14:textId="432C40C8" w:rsidR="00637E93" w:rsidRPr="0036454D" w:rsidRDefault="00D1388B" w:rsidP="00637E93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6454D">
        <w:rPr>
          <w:sz w:val="24"/>
          <w:szCs w:val="24"/>
        </w:rPr>
        <w:t xml:space="preserve">TSOs will set the shares so that the efficiency of capacity utilization is considered </w:t>
      </w:r>
      <w:r w:rsidR="00BE4B8E">
        <w:rPr>
          <w:sz w:val="24"/>
          <w:szCs w:val="24"/>
        </w:rPr>
        <w:t>with the objective</w:t>
      </w:r>
      <w:r w:rsidRPr="0036454D">
        <w:rPr>
          <w:sz w:val="24"/>
          <w:szCs w:val="24"/>
        </w:rPr>
        <w:t xml:space="preserve"> to correspond the market needs</w:t>
      </w:r>
      <w:r w:rsidR="005C71F4">
        <w:rPr>
          <w:sz w:val="24"/>
          <w:szCs w:val="24"/>
        </w:rPr>
        <w:t>.</w:t>
      </w:r>
      <w:r w:rsidRPr="0036454D" w:rsidDel="00D1388B">
        <w:rPr>
          <w:rFonts w:cstheme="minorHAnsi"/>
          <w:color w:val="FF0000"/>
          <w:sz w:val="28"/>
          <w:szCs w:val="28"/>
        </w:rPr>
        <w:t xml:space="preserve"> </w:t>
      </w:r>
    </w:p>
    <w:p w14:paraId="33D9193C" w14:textId="075DE1F7" w:rsidR="00A91DA5" w:rsidRPr="00BE4B8E" w:rsidRDefault="00A91DA5" w:rsidP="00A91D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4B8E">
        <w:rPr>
          <w:rFonts w:cstheme="minorHAnsi"/>
          <w:sz w:val="24"/>
          <w:szCs w:val="24"/>
        </w:rPr>
        <w:t>In</w:t>
      </w:r>
      <w:r w:rsidR="00555291" w:rsidRPr="00BE4B8E">
        <w:rPr>
          <w:rFonts w:cstheme="minorHAnsi"/>
          <w:sz w:val="24"/>
          <w:szCs w:val="24"/>
        </w:rPr>
        <w:t xml:space="preserve"> </w:t>
      </w:r>
      <w:r w:rsidRPr="00BE4B8E">
        <w:rPr>
          <w:rFonts w:cstheme="minorHAnsi"/>
          <w:sz w:val="24"/>
          <w:szCs w:val="24"/>
        </w:rPr>
        <w:t>congest</w:t>
      </w:r>
      <w:r w:rsidR="00F54A67" w:rsidRPr="00BE4B8E">
        <w:rPr>
          <w:rFonts w:cstheme="minorHAnsi"/>
          <w:sz w:val="24"/>
          <w:szCs w:val="24"/>
        </w:rPr>
        <w:t>ion</w:t>
      </w:r>
      <w:r w:rsidR="00555291" w:rsidRPr="00BE4B8E">
        <w:rPr>
          <w:rFonts w:cstheme="minorHAnsi"/>
          <w:sz w:val="24"/>
          <w:szCs w:val="24"/>
        </w:rPr>
        <w:t xml:space="preserve"> situations</w:t>
      </w:r>
      <w:r w:rsidR="00336C8E" w:rsidRPr="00BE4B8E">
        <w:rPr>
          <w:rFonts w:cstheme="minorHAnsi"/>
          <w:sz w:val="24"/>
          <w:szCs w:val="24"/>
        </w:rPr>
        <w:t>:</w:t>
      </w:r>
    </w:p>
    <w:p w14:paraId="2AA9EB97" w14:textId="794E098A" w:rsidR="00A91DA5" w:rsidRPr="00BE4B8E" w:rsidRDefault="00594E32" w:rsidP="00A91D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4B8E">
        <w:rPr>
          <w:rFonts w:cstheme="minorHAnsi"/>
          <w:sz w:val="24"/>
          <w:szCs w:val="24"/>
        </w:rPr>
        <w:t>T</w:t>
      </w:r>
      <w:r w:rsidR="00A91DA5" w:rsidRPr="00BE4B8E">
        <w:rPr>
          <w:rFonts w:cstheme="minorHAnsi"/>
          <w:sz w:val="24"/>
          <w:szCs w:val="24"/>
        </w:rPr>
        <w:t xml:space="preserve">o the congested direction: 90 % of </w:t>
      </w:r>
      <w:r w:rsidRPr="00BE4B8E">
        <w:rPr>
          <w:rFonts w:cstheme="minorHAnsi"/>
          <w:sz w:val="24"/>
          <w:szCs w:val="24"/>
        </w:rPr>
        <w:t>technical</w:t>
      </w:r>
      <w:r w:rsidR="007B0B47" w:rsidRPr="00BE4B8E">
        <w:rPr>
          <w:rFonts w:cstheme="minorHAnsi"/>
          <w:sz w:val="24"/>
          <w:szCs w:val="24"/>
        </w:rPr>
        <w:t xml:space="preserve"> </w:t>
      </w:r>
      <w:r w:rsidR="00A91DA5" w:rsidRPr="00BE4B8E">
        <w:rPr>
          <w:rFonts w:cstheme="minorHAnsi"/>
          <w:sz w:val="24"/>
          <w:szCs w:val="24"/>
        </w:rPr>
        <w:t>capacity offered via TSO’s platform and 10 % via GET Baltic trading system.</w:t>
      </w:r>
    </w:p>
    <w:p w14:paraId="53BFBCB2" w14:textId="401F472C" w:rsidR="00A91DA5" w:rsidRPr="00BE4B8E" w:rsidRDefault="00DF1D2F" w:rsidP="00A91D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4B8E">
        <w:rPr>
          <w:sz w:val="24"/>
          <w:szCs w:val="24"/>
        </w:rPr>
        <w:t xml:space="preserve">To the non-congested direction, capacity will be given to GET Baltic </w:t>
      </w:r>
      <w:r w:rsidR="00E127A5" w:rsidRPr="00B67A50">
        <w:rPr>
          <w:sz w:val="24"/>
          <w:szCs w:val="24"/>
        </w:rPr>
        <w:t xml:space="preserve">20 </w:t>
      </w:r>
      <w:r w:rsidR="00CD2AEA" w:rsidRPr="00B67A50">
        <w:rPr>
          <w:sz w:val="24"/>
          <w:szCs w:val="24"/>
        </w:rPr>
        <w:t>minutes</w:t>
      </w:r>
      <w:r w:rsidR="00CD2AEA" w:rsidRPr="006D7A50">
        <w:rPr>
          <w:color w:val="FF0000"/>
          <w:sz w:val="24"/>
          <w:szCs w:val="24"/>
        </w:rPr>
        <w:t xml:space="preserve"> </w:t>
      </w:r>
      <w:r w:rsidR="00970504" w:rsidRPr="00BE4B8E">
        <w:rPr>
          <w:sz w:val="24"/>
          <w:szCs w:val="24"/>
        </w:rPr>
        <w:t xml:space="preserve">before the </w:t>
      </w:r>
      <w:r w:rsidR="00B771DA" w:rsidRPr="00BE4B8E">
        <w:rPr>
          <w:sz w:val="24"/>
          <w:szCs w:val="24"/>
        </w:rPr>
        <w:t>trading period opens</w:t>
      </w:r>
      <w:r w:rsidRPr="00BE4B8E">
        <w:rPr>
          <w:sz w:val="24"/>
          <w:szCs w:val="24"/>
        </w:rPr>
        <w:t xml:space="preserve">, and the amount of </w:t>
      </w:r>
      <w:r w:rsidR="007321AA">
        <w:rPr>
          <w:sz w:val="24"/>
          <w:szCs w:val="24"/>
        </w:rPr>
        <w:t>offered</w:t>
      </w:r>
      <w:r w:rsidRPr="00BE4B8E">
        <w:rPr>
          <w:sz w:val="24"/>
          <w:szCs w:val="24"/>
        </w:rPr>
        <w:t xml:space="preserve"> capacity may vary between 10 % and 90 %</w:t>
      </w:r>
      <w:r w:rsidR="00A91DA5" w:rsidRPr="00BE4B8E">
        <w:rPr>
          <w:rFonts w:cstheme="minorHAnsi"/>
          <w:sz w:val="24"/>
          <w:szCs w:val="24"/>
        </w:rPr>
        <w:t>.</w:t>
      </w:r>
    </w:p>
    <w:p w14:paraId="6C8ACFF1" w14:textId="77777777" w:rsidR="00A91DA5" w:rsidRDefault="00A91DA5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Within-day capacity: </w:t>
      </w:r>
    </w:p>
    <w:p w14:paraId="24584DC2" w14:textId="648CC374" w:rsidR="00A91DA5" w:rsidRDefault="00A91DA5" w:rsidP="00A91DA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E004C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ormal conditions (no congestion):</w:t>
      </w:r>
    </w:p>
    <w:p w14:paraId="6AABD308" w14:textId="17613728" w:rsidR="00A91DA5" w:rsidRPr="00BC29F1" w:rsidRDefault="00681818" w:rsidP="00D2010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C29F1">
        <w:rPr>
          <w:sz w:val="24"/>
          <w:szCs w:val="24"/>
        </w:rPr>
        <w:t xml:space="preserve">TSOs will set the shares so that the efficiency of capacity utilization is considered </w:t>
      </w:r>
      <w:r w:rsidR="002F75F8">
        <w:rPr>
          <w:sz w:val="24"/>
          <w:szCs w:val="24"/>
        </w:rPr>
        <w:t>with the objective</w:t>
      </w:r>
      <w:r w:rsidR="002F75F8" w:rsidRPr="0036454D">
        <w:rPr>
          <w:sz w:val="24"/>
          <w:szCs w:val="24"/>
        </w:rPr>
        <w:t xml:space="preserve"> to correspond the market needs</w:t>
      </w:r>
      <w:r w:rsidR="002F75F8">
        <w:rPr>
          <w:sz w:val="24"/>
          <w:szCs w:val="24"/>
        </w:rPr>
        <w:t>.</w:t>
      </w:r>
    </w:p>
    <w:p w14:paraId="5CCBC5A7" w14:textId="5DCF10E6" w:rsidR="00A91DA5" w:rsidRPr="00BC29F1" w:rsidRDefault="00A91DA5" w:rsidP="00A91DA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C29F1">
        <w:rPr>
          <w:rFonts w:cstheme="minorHAnsi"/>
          <w:sz w:val="24"/>
          <w:szCs w:val="24"/>
        </w:rPr>
        <w:t>In congest</w:t>
      </w:r>
      <w:r w:rsidR="00F54A67" w:rsidRPr="00BC29F1">
        <w:rPr>
          <w:rFonts w:cstheme="minorHAnsi"/>
          <w:sz w:val="24"/>
          <w:szCs w:val="24"/>
        </w:rPr>
        <w:t>ion</w:t>
      </w:r>
      <w:r w:rsidR="00E004C4" w:rsidRPr="00BC29F1">
        <w:rPr>
          <w:rFonts w:cstheme="minorHAnsi"/>
          <w:sz w:val="24"/>
          <w:szCs w:val="24"/>
        </w:rPr>
        <w:t xml:space="preserve"> situations</w:t>
      </w:r>
      <w:r w:rsidR="00336C8E" w:rsidRPr="00BC29F1">
        <w:rPr>
          <w:rFonts w:cstheme="minorHAnsi"/>
          <w:sz w:val="24"/>
          <w:szCs w:val="24"/>
        </w:rPr>
        <w:t>:</w:t>
      </w:r>
    </w:p>
    <w:p w14:paraId="106A7927" w14:textId="5E2FD350" w:rsidR="00A91DA5" w:rsidRPr="004B6331" w:rsidRDefault="00B038B8" w:rsidP="00492506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4B6331">
        <w:rPr>
          <w:rFonts w:cstheme="minorHAnsi"/>
          <w:sz w:val="24"/>
          <w:szCs w:val="24"/>
        </w:rPr>
        <w:t xml:space="preserve">To the congested direction: </w:t>
      </w:r>
      <w:r w:rsidR="00BB2BA5" w:rsidRPr="004B6331">
        <w:rPr>
          <w:rFonts w:cstheme="minorHAnsi"/>
          <w:sz w:val="24"/>
          <w:szCs w:val="24"/>
        </w:rPr>
        <w:t>90</w:t>
      </w:r>
      <w:r w:rsidR="00BB2BA5" w:rsidRPr="004B6331">
        <w:rPr>
          <w:rFonts w:cstheme="minorHAnsi"/>
          <w:color w:val="FF0000"/>
          <w:sz w:val="24"/>
          <w:szCs w:val="24"/>
        </w:rPr>
        <w:t xml:space="preserve"> </w:t>
      </w:r>
      <w:r w:rsidR="00BB2BA5" w:rsidRPr="004B6331">
        <w:rPr>
          <w:rFonts w:cstheme="minorHAnsi"/>
          <w:sz w:val="24"/>
          <w:szCs w:val="24"/>
        </w:rPr>
        <w:t>% of available capacity offered via TSO’s platform and 10 % via GET Baltic trading system.</w:t>
      </w:r>
      <w:r w:rsidRPr="004B6331">
        <w:rPr>
          <w:sz w:val="24"/>
          <w:szCs w:val="24"/>
        </w:rPr>
        <w:t xml:space="preserve"> </w:t>
      </w:r>
      <w:r w:rsidR="00567B3B" w:rsidRPr="004B6331">
        <w:rPr>
          <w:sz w:val="24"/>
          <w:szCs w:val="24"/>
        </w:rPr>
        <w:t xml:space="preserve">If all capacity offered to </w:t>
      </w:r>
      <w:r w:rsidR="00284366" w:rsidRPr="004B6331">
        <w:rPr>
          <w:sz w:val="24"/>
          <w:szCs w:val="24"/>
        </w:rPr>
        <w:t xml:space="preserve">GET Baltic trading system is not </w:t>
      </w:r>
      <w:r w:rsidR="008B5E67" w:rsidRPr="004B6331">
        <w:rPr>
          <w:sz w:val="24"/>
          <w:szCs w:val="24"/>
        </w:rPr>
        <w:t xml:space="preserve">used during day-ahead trading period, </w:t>
      </w:r>
      <w:r w:rsidR="0048552C" w:rsidRPr="004B6331">
        <w:rPr>
          <w:sz w:val="24"/>
          <w:szCs w:val="24"/>
        </w:rPr>
        <w:t xml:space="preserve">TSO will offer </w:t>
      </w:r>
      <w:r w:rsidR="004715C9">
        <w:rPr>
          <w:sz w:val="24"/>
          <w:szCs w:val="24"/>
        </w:rPr>
        <w:t>this</w:t>
      </w:r>
      <w:r w:rsidR="0048552C" w:rsidRPr="004B6331">
        <w:rPr>
          <w:sz w:val="24"/>
          <w:szCs w:val="24"/>
        </w:rPr>
        <w:t xml:space="preserve"> capacity for market via TSO’s platform</w:t>
      </w:r>
      <w:r w:rsidR="00A30EF9" w:rsidRPr="004B6331">
        <w:rPr>
          <w:sz w:val="24"/>
          <w:szCs w:val="24"/>
        </w:rPr>
        <w:t xml:space="preserve">. If </w:t>
      </w:r>
      <w:r w:rsidR="00F82A43" w:rsidRPr="004B6331">
        <w:rPr>
          <w:sz w:val="24"/>
          <w:szCs w:val="24"/>
        </w:rPr>
        <w:t xml:space="preserve">technical </w:t>
      </w:r>
      <w:r w:rsidR="00A30EF9" w:rsidRPr="004B6331">
        <w:rPr>
          <w:sz w:val="24"/>
          <w:szCs w:val="24"/>
        </w:rPr>
        <w:t>capacity is</w:t>
      </w:r>
      <w:r w:rsidR="00F82A43" w:rsidRPr="004B6331">
        <w:rPr>
          <w:sz w:val="24"/>
          <w:szCs w:val="24"/>
        </w:rPr>
        <w:t xml:space="preserve"> utilized </w:t>
      </w:r>
      <w:r w:rsidR="00427CA9" w:rsidRPr="004B6331">
        <w:rPr>
          <w:sz w:val="24"/>
          <w:szCs w:val="24"/>
        </w:rPr>
        <w:t xml:space="preserve">before the within-day </w:t>
      </w:r>
      <w:r w:rsidR="00726694" w:rsidRPr="004B6331">
        <w:rPr>
          <w:sz w:val="24"/>
          <w:szCs w:val="24"/>
        </w:rPr>
        <w:t xml:space="preserve">capacity trading window </w:t>
      </w:r>
      <w:r w:rsidR="004715C9">
        <w:rPr>
          <w:sz w:val="24"/>
          <w:szCs w:val="24"/>
        </w:rPr>
        <w:t xml:space="preserve">is </w:t>
      </w:r>
      <w:r w:rsidR="00726694" w:rsidRPr="004B6331">
        <w:rPr>
          <w:sz w:val="24"/>
          <w:szCs w:val="24"/>
        </w:rPr>
        <w:t>open</w:t>
      </w:r>
      <w:r w:rsidR="004715C9">
        <w:rPr>
          <w:sz w:val="24"/>
          <w:szCs w:val="24"/>
        </w:rPr>
        <w:t>ed</w:t>
      </w:r>
      <w:r w:rsidR="00857A70" w:rsidRPr="004B6331">
        <w:rPr>
          <w:sz w:val="24"/>
          <w:szCs w:val="24"/>
        </w:rPr>
        <w:t xml:space="preserve">, </w:t>
      </w:r>
      <w:r w:rsidR="004715C9">
        <w:rPr>
          <w:sz w:val="24"/>
          <w:szCs w:val="24"/>
        </w:rPr>
        <w:t xml:space="preserve">within-day capacity </w:t>
      </w:r>
      <w:r w:rsidR="00F35575" w:rsidRPr="004B6331">
        <w:rPr>
          <w:sz w:val="24"/>
          <w:szCs w:val="24"/>
        </w:rPr>
        <w:t>is not</w:t>
      </w:r>
      <w:r w:rsidR="006D2D14" w:rsidRPr="004B6331">
        <w:rPr>
          <w:sz w:val="24"/>
          <w:szCs w:val="24"/>
        </w:rPr>
        <w:t xml:space="preserve"> offered</w:t>
      </w:r>
      <w:r w:rsidR="001C1076" w:rsidRPr="004B6331">
        <w:rPr>
          <w:sz w:val="24"/>
          <w:szCs w:val="24"/>
        </w:rPr>
        <w:t>.</w:t>
      </w:r>
    </w:p>
    <w:p w14:paraId="2B8C15A2" w14:textId="07680224" w:rsidR="004D5195" w:rsidRPr="00B67A50" w:rsidRDefault="004D5195" w:rsidP="004D519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C29F1">
        <w:rPr>
          <w:sz w:val="24"/>
          <w:szCs w:val="24"/>
        </w:rPr>
        <w:t xml:space="preserve">To the non-congested direction, capacity will be given to GET Baltic </w:t>
      </w:r>
      <w:r w:rsidR="00B32393" w:rsidRPr="00B67A50">
        <w:rPr>
          <w:sz w:val="24"/>
          <w:szCs w:val="24"/>
        </w:rPr>
        <w:t>20 minutes before the trading period opens at the latest</w:t>
      </w:r>
      <w:r w:rsidRPr="00B67A50">
        <w:rPr>
          <w:sz w:val="24"/>
          <w:szCs w:val="24"/>
        </w:rPr>
        <w:t xml:space="preserve">, and the amount of </w:t>
      </w:r>
      <w:r w:rsidR="007321AA" w:rsidRPr="00B67A50">
        <w:rPr>
          <w:sz w:val="24"/>
          <w:szCs w:val="24"/>
        </w:rPr>
        <w:t>offered</w:t>
      </w:r>
      <w:r w:rsidRPr="00B67A50">
        <w:rPr>
          <w:sz w:val="24"/>
          <w:szCs w:val="24"/>
        </w:rPr>
        <w:t xml:space="preserve"> capacity may vary between 10 % and 90 %</w:t>
      </w:r>
      <w:r w:rsidRPr="00B67A50">
        <w:rPr>
          <w:rFonts w:cstheme="minorHAnsi"/>
          <w:sz w:val="24"/>
          <w:szCs w:val="24"/>
        </w:rPr>
        <w:t>.</w:t>
      </w:r>
    </w:p>
    <w:p w14:paraId="3C26CB70" w14:textId="51C8C1C3" w:rsidR="00C35CE9" w:rsidRPr="00B67A50" w:rsidRDefault="00C35CE9" w:rsidP="00C35CE9">
      <w:pPr>
        <w:rPr>
          <w:rFonts w:cstheme="minorHAnsi"/>
          <w:sz w:val="24"/>
          <w:szCs w:val="24"/>
        </w:rPr>
      </w:pPr>
      <w:r w:rsidRPr="00B67A50">
        <w:rPr>
          <w:rFonts w:cstheme="minorHAnsi"/>
          <w:sz w:val="24"/>
          <w:szCs w:val="24"/>
        </w:rPr>
        <w:t xml:space="preserve">The capacity shares will stay as described above until market participants are otherwise informed by TSO.  </w:t>
      </w:r>
    </w:p>
    <w:p w14:paraId="3484DAF4" w14:textId="7CEBA197" w:rsidR="00D701B5" w:rsidRDefault="00502464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 congestion situation, t</w:t>
      </w:r>
      <w:r w:rsidR="00A91DA5">
        <w:rPr>
          <w:rFonts w:cstheme="minorHAnsi"/>
          <w:sz w:val="24"/>
          <w:szCs w:val="24"/>
        </w:rPr>
        <w:t xml:space="preserve">he reasoning </w:t>
      </w:r>
      <w:r w:rsidR="00555291">
        <w:rPr>
          <w:rFonts w:cstheme="minorHAnsi"/>
          <w:sz w:val="24"/>
          <w:szCs w:val="24"/>
        </w:rPr>
        <w:t>for</w:t>
      </w:r>
      <w:r w:rsidR="00A91DA5">
        <w:rPr>
          <w:rFonts w:cstheme="minorHAnsi"/>
          <w:sz w:val="24"/>
          <w:szCs w:val="24"/>
        </w:rPr>
        <w:t xml:space="preserve"> bigger share of capacity offered via TSO’s platform is that the</w:t>
      </w:r>
      <w:r w:rsidR="00C35048">
        <w:rPr>
          <w:rFonts w:cstheme="minorHAnsi"/>
          <w:sz w:val="24"/>
          <w:szCs w:val="24"/>
        </w:rPr>
        <w:t xml:space="preserve"> allocation method uses </w:t>
      </w:r>
      <w:r w:rsidR="00C35048" w:rsidRPr="004E6B5F">
        <w:rPr>
          <w:rFonts w:cstheme="minorHAnsi"/>
          <w:i/>
          <w:sz w:val="24"/>
          <w:szCs w:val="24"/>
        </w:rPr>
        <w:t>pro rata</w:t>
      </w:r>
      <w:r w:rsidR="00C35048">
        <w:rPr>
          <w:rFonts w:cstheme="minorHAnsi"/>
          <w:sz w:val="24"/>
          <w:szCs w:val="24"/>
        </w:rPr>
        <w:t xml:space="preserve"> principle.</w:t>
      </w:r>
      <w:r w:rsidR="00A91DA5">
        <w:rPr>
          <w:rFonts w:cstheme="minorHAnsi"/>
          <w:sz w:val="24"/>
          <w:szCs w:val="24"/>
        </w:rPr>
        <w:t xml:space="preserve"> </w:t>
      </w:r>
      <w:r w:rsidR="00C35048">
        <w:rPr>
          <w:rFonts w:cstheme="minorHAnsi"/>
          <w:sz w:val="24"/>
          <w:szCs w:val="24"/>
        </w:rPr>
        <w:t xml:space="preserve">The allocation on GET Baltic uses First-Come-First-Served principle. In a situation of potential congestion, TSOs believe that the </w:t>
      </w:r>
      <w:r w:rsidR="00C35048" w:rsidRPr="004E6B5F">
        <w:rPr>
          <w:rFonts w:cstheme="minorHAnsi"/>
          <w:i/>
          <w:sz w:val="24"/>
          <w:szCs w:val="24"/>
        </w:rPr>
        <w:t>pro rata</w:t>
      </w:r>
      <w:r w:rsidR="00C35048">
        <w:rPr>
          <w:rFonts w:cstheme="minorHAnsi"/>
          <w:sz w:val="24"/>
          <w:szCs w:val="24"/>
        </w:rPr>
        <w:t xml:space="preserve"> method is a fairer capacity allocation method towards the market participants.</w:t>
      </w:r>
      <w:r w:rsidR="004E6B5F">
        <w:rPr>
          <w:rFonts w:cstheme="minorHAnsi"/>
          <w:sz w:val="24"/>
          <w:szCs w:val="24"/>
        </w:rPr>
        <w:t xml:space="preserve"> </w:t>
      </w:r>
      <w:r w:rsidR="00391A29">
        <w:rPr>
          <w:rFonts w:cstheme="minorHAnsi"/>
          <w:sz w:val="24"/>
          <w:szCs w:val="24"/>
        </w:rPr>
        <w:t>Because of this,</w:t>
      </w:r>
      <w:r w:rsidR="00246BF1">
        <w:rPr>
          <w:rFonts w:cstheme="minorHAnsi"/>
          <w:sz w:val="24"/>
          <w:szCs w:val="24"/>
        </w:rPr>
        <w:t xml:space="preserve"> the offered capacity for GET Baltic’s trading platform is limited.</w:t>
      </w:r>
      <w:r w:rsidR="00D701B5">
        <w:rPr>
          <w:rFonts w:cstheme="minorHAnsi"/>
          <w:sz w:val="24"/>
          <w:szCs w:val="24"/>
        </w:rPr>
        <w:t xml:space="preserve"> </w:t>
      </w:r>
      <w:r w:rsidR="00324B60">
        <w:rPr>
          <w:rFonts w:cstheme="minorHAnsi"/>
          <w:sz w:val="24"/>
          <w:szCs w:val="24"/>
        </w:rPr>
        <w:t xml:space="preserve">Although </w:t>
      </w:r>
      <w:r w:rsidR="00EA39F4">
        <w:rPr>
          <w:rFonts w:cstheme="minorHAnsi"/>
          <w:sz w:val="24"/>
          <w:szCs w:val="24"/>
        </w:rPr>
        <w:t xml:space="preserve">the exchange has no capacity left, trading within market areas </w:t>
      </w:r>
      <w:r w:rsidR="00D83424">
        <w:rPr>
          <w:rFonts w:cstheme="minorHAnsi"/>
          <w:sz w:val="24"/>
          <w:szCs w:val="24"/>
        </w:rPr>
        <w:t>is still possible in the exchange.</w:t>
      </w:r>
    </w:p>
    <w:p w14:paraId="12A0B101" w14:textId="12E3FDBD" w:rsidR="00E566DF" w:rsidRDefault="00246BF1" w:rsidP="005E49AA">
      <w:pPr>
        <w:pStyle w:val="Comment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Balticconnector is congested to one direction, there is capacity available to another direction. T</w:t>
      </w:r>
      <w:r w:rsidR="00E566DF">
        <w:rPr>
          <w:rFonts w:cstheme="minorHAnsi"/>
          <w:sz w:val="24"/>
          <w:szCs w:val="24"/>
        </w:rPr>
        <w:t xml:space="preserve">o the </w:t>
      </w:r>
      <w:r w:rsidR="00E566DF" w:rsidRPr="009C120A">
        <w:rPr>
          <w:rFonts w:cstheme="minorHAnsi"/>
          <w:sz w:val="24"/>
          <w:szCs w:val="24"/>
        </w:rPr>
        <w:t>non-congested direction</w:t>
      </w:r>
      <w:r w:rsidR="00795375" w:rsidRPr="009C120A">
        <w:rPr>
          <w:rFonts w:cstheme="minorHAnsi"/>
          <w:sz w:val="24"/>
          <w:szCs w:val="24"/>
        </w:rPr>
        <w:t>,</w:t>
      </w:r>
      <w:r w:rsidR="00E566DF" w:rsidRPr="009C120A">
        <w:rPr>
          <w:rFonts w:cstheme="minorHAnsi"/>
          <w:sz w:val="24"/>
          <w:szCs w:val="24"/>
        </w:rPr>
        <w:t xml:space="preserve"> the ratio</w:t>
      </w:r>
      <w:r w:rsidR="00BD796C" w:rsidRPr="009C120A">
        <w:rPr>
          <w:rFonts w:cstheme="minorHAnsi"/>
          <w:sz w:val="24"/>
          <w:szCs w:val="24"/>
        </w:rPr>
        <w:t xml:space="preserve"> of offered capacity</w:t>
      </w:r>
      <w:r w:rsidR="0019142C" w:rsidRPr="009C120A">
        <w:rPr>
          <w:rFonts w:cstheme="minorHAnsi"/>
          <w:sz w:val="24"/>
          <w:szCs w:val="24"/>
        </w:rPr>
        <w:t xml:space="preserve"> between TSO’s platform and GET Baltic’s trading platform</w:t>
      </w:r>
      <w:r w:rsidR="00E566DF" w:rsidRPr="009C120A">
        <w:rPr>
          <w:rFonts w:cstheme="minorHAnsi"/>
          <w:sz w:val="24"/>
          <w:szCs w:val="24"/>
        </w:rPr>
        <w:t xml:space="preserve"> is </w:t>
      </w:r>
      <w:r w:rsidR="00041AFB" w:rsidRPr="009C120A">
        <w:rPr>
          <w:rFonts w:cstheme="minorHAnsi"/>
          <w:sz w:val="24"/>
          <w:szCs w:val="24"/>
        </w:rPr>
        <w:t>set</w:t>
      </w:r>
      <w:r w:rsidR="002618A0" w:rsidRPr="009C120A">
        <w:rPr>
          <w:rFonts w:cstheme="minorHAnsi"/>
          <w:sz w:val="24"/>
          <w:szCs w:val="24"/>
        </w:rPr>
        <w:t xml:space="preserve"> </w:t>
      </w:r>
      <w:r w:rsidR="00041AFB" w:rsidRPr="009C120A">
        <w:rPr>
          <w:rFonts w:cstheme="minorHAnsi"/>
          <w:sz w:val="24"/>
          <w:szCs w:val="24"/>
        </w:rPr>
        <w:t>so that</w:t>
      </w:r>
      <w:r w:rsidR="00041AFB" w:rsidRPr="009C120A">
        <w:rPr>
          <w:sz w:val="24"/>
          <w:szCs w:val="24"/>
        </w:rPr>
        <w:t xml:space="preserve"> </w:t>
      </w:r>
      <w:r w:rsidR="000339F9" w:rsidRPr="009C120A">
        <w:rPr>
          <w:sz w:val="24"/>
          <w:szCs w:val="24"/>
        </w:rPr>
        <w:t xml:space="preserve">efficient </w:t>
      </w:r>
      <w:r w:rsidR="00041AFB" w:rsidRPr="009C120A">
        <w:rPr>
          <w:sz w:val="24"/>
          <w:szCs w:val="24"/>
        </w:rPr>
        <w:t xml:space="preserve">capacity utilization is considered </w:t>
      </w:r>
      <w:r w:rsidR="009C120A" w:rsidRPr="009C120A">
        <w:rPr>
          <w:sz w:val="24"/>
          <w:szCs w:val="24"/>
        </w:rPr>
        <w:t xml:space="preserve">TSOs </w:t>
      </w:r>
      <w:r w:rsidR="00041AFB" w:rsidRPr="009C120A">
        <w:rPr>
          <w:sz w:val="24"/>
          <w:szCs w:val="24"/>
        </w:rPr>
        <w:t>aiming to correspond the market needs.</w:t>
      </w:r>
      <w:r w:rsidR="00795375">
        <w:rPr>
          <w:rFonts w:cstheme="minorHAnsi"/>
          <w:sz w:val="24"/>
          <w:szCs w:val="24"/>
        </w:rPr>
        <w:t xml:space="preserve"> </w:t>
      </w:r>
      <w:r w:rsidR="0004621C">
        <w:rPr>
          <w:rFonts w:cstheme="minorHAnsi"/>
          <w:sz w:val="24"/>
          <w:szCs w:val="24"/>
        </w:rPr>
        <w:t xml:space="preserve">All trades to the </w:t>
      </w:r>
      <w:r w:rsidR="00B30C6B">
        <w:rPr>
          <w:rFonts w:cstheme="minorHAnsi"/>
          <w:sz w:val="24"/>
          <w:szCs w:val="24"/>
        </w:rPr>
        <w:t>less utilized</w:t>
      </w:r>
      <w:r w:rsidR="0004621C">
        <w:rPr>
          <w:rFonts w:cstheme="minorHAnsi"/>
          <w:sz w:val="24"/>
          <w:szCs w:val="24"/>
        </w:rPr>
        <w:t xml:space="preserve"> direction would </w:t>
      </w:r>
      <w:r w:rsidR="00EC6D2A">
        <w:rPr>
          <w:rFonts w:cstheme="minorHAnsi"/>
          <w:sz w:val="24"/>
          <w:szCs w:val="24"/>
        </w:rPr>
        <w:t>reduce the risk of congestion, because TSOs have possibility to offer virtual</w:t>
      </w:r>
      <w:r w:rsidR="004F7C55">
        <w:rPr>
          <w:rFonts w:cstheme="minorHAnsi"/>
          <w:sz w:val="24"/>
          <w:szCs w:val="24"/>
        </w:rPr>
        <w:t xml:space="preserve"> </w:t>
      </w:r>
      <w:r w:rsidR="00474C5E">
        <w:rPr>
          <w:rFonts w:cstheme="minorHAnsi"/>
          <w:sz w:val="24"/>
          <w:szCs w:val="24"/>
        </w:rPr>
        <w:t>reverse flow</w:t>
      </w:r>
      <w:r w:rsidR="00EC6D2A">
        <w:rPr>
          <w:rFonts w:cstheme="minorHAnsi"/>
          <w:sz w:val="24"/>
          <w:szCs w:val="24"/>
        </w:rPr>
        <w:t xml:space="preserve"> capacity</w:t>
      </w:r>
      <w:r w:rsidR="00E62555">
        <w:rPr>
          <w:rFonts w:cstheme="minorHAnsi"/>
          <w:sz w:val="24"/>
          <w:szCs w:val="24"/>
        </w:rPr>
        <w:t xml:space="preserve">. </w:t>
      </w:r>
    </w:p>
    <w:p w14:paraId="7BED020A" w14:textId="4C368407" w:rsidR="007A086C" w:rsidRDefault="00D701B5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91DA5">
        <w:rPr>
          <w:rFonts w:cstheme="minorHAnsi"/>
          <w:sz w:val="24"/>
          <w:szCs w:val="24"/>
        </w:rPr>
        <w:t>epending on market needs, TSOs have flexibility to adjust the ratio so that Balticconnector capacity is allocated efficiently</w:t>
      </w:r>
      <w:r w:rsidR="00484B12">
        <w:rPr>
          <w:rFonts w:cstheme="minorHAnsi"/>
          <w:sz w:val="24"/>
          <w:szCs w:val="24"/>
        </w:rPr>
        <w:t xml:space="preserve"> taking into account the market </w:t>
      </w:r>
      <w:r w:rsidR="00E566DF">
        <w:rPr>
          <w:rFonts w:cstheme="minorHAnsi"/>
          <w:sz w:val="24"/>
          <w:szCs w:val="24"/>
        </w:rPr>
        <w:t>behavior</w:t>
      </w:r>
      <w:r w:rsidR="004D4DDC">
        <w:rPr>
          <w:rFonts w:cstheme="minorHAnsi"/>
          <w:sz w:val="24"/>
          <w:szCs w:val="24"/>
        </w:rPr>
        <w:t>.</w:t>
      </w:r>
      <w:r w:rsidR="00E566DF">
        <w:rPr>
          <w:rFonts w:cstheme="minorHAnsi"/>
          <w:sz w:val="24"/>
          <w:szCs w:val="24"/>
        </w:rPr>
        <w:t xml:space="preserve"> </w:t>
      </w:r>
    </w:p>
    <w:p w14:paraId="6273E7DE" w14:textId="77777777" w:rsidR="00C35CE9" w:rsidRDefault="00C35CE9" w:rsidP="00A91DA5">
      <w:pPr>
        <w:rPr>
          <w:rFonts w:cstheme="minorHAnsi"/>
          <w:sz w:val="24"/>
          <w:szCs w:val="24"/>
        </w:rPr>
      </w:pPr>
    </w:p>
    <w:p w14:paraId="4B584ED9" w14:textId="467E150E" w:rsidR="00E566DF" w:rsidRPr="002D32C4" w:rsidRDefault="00E566DF" w:rsidP="00A9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questions, please contact: </w:t>
      </w:r>
    </w:p>
    <w:p w14:paraId="25CEB1BD" w14:textId="0F9AC97F" w:rsidR="00E566DF" w:rsidRDefault="002D32C4" w:rsidP="00A91DA5">
      <w:pPr>
        <w:rPr>
          <w:rFonts w:cstheme="minorHAnsi"/>
          <w:sz w:val="24"/>
          <w:szCs w:val="24"/>
        </w:rPr>
      </w:pPr>
      <w:r w:rsidRPr="002D32C4">
        <w:rPr>
          <w:rFonts w:cstheme="minorHAnsi"/>
          <w:sz w:val="24"/>
          <w:szCs w:val="24"/>
        </w:rPr>
        <w:t>Veiko Aunapuu Elering AS (</w:t>
      </w:r>
      <w:hyperlink r:id="rId10" w:history="1">
        <w:r w:rsidR="00C92E2F" w:rsidRPr="00660099">
          <w:rPr>
            <w:rStyle w:val="Hyperlink"/>
            <w:rFonts w:cstheme="minorHAnsi"/>
            <w:sz w:val="24"/>
            <w:szCs w:val="24"/>
          </w:rPr>
          <w:t>Veiko.aunapuu@elering.ee</w:t>
        </w:r>
      </w:hyperlink>
      <w:r w:rsidRPr="002D32C4">
        <w:rPr>
          <w:rFonts w:cstheme="minorHAnsi"/>
          <w:sz w:val="24"/>
          <w:szCs w:val="24"/>
        </w:rPr>
        <w:t>)</w:t>
      </w:r>
    </w:p>
    <w:p w14:paraId="5474A83D" w14:textId="6225D509" w:rsidR="00C92E2F" w:rsidRPr="002D32C4" w:rsidRDefault="00C92E2F" w:rsidP="00A91DA5">
      <w:pPr>
        <w:rPr>
          <w:rFonts w:cstheme="minorHAnsi"/>
          <w:sz w:val="24"/>
          <w:szCs w:val="24"/>
        </w:rPr>
      </w:pPr>
      <w:r w:rsidRPr="00C92E2F">
        <w:rPr>
          <w:rFonts w:cstheme="minorHAnsi"/>
          <w:sz w:val="24"/>
          <w:szCs w:val="24"/>
        </w:rPr>
        <w:t>Janne Grönlund</w:t>
      </w:r>
      <w:r>
        <w:rPr>
          <w:rFonts w:cstheme="minorHAnsi"/>
          <w:sz w:val="24"/>
          <w:szCs w:val="24"/>
        </w:rPr>
        <w:t xml:space="preserve"> Gasum OY</w:t>
      </w:r>
      <w:r w:rsidRPr="00C92E2F">
        <w:rPr>
          <w:rFonts w:cstheme="minorHAnsi"/>
          <w:sz w:val="24"/>
          <w:szCs w:val="24"/>
        </w:rPr>
        <w:t xml:space="preserve"> (</w:t>
      </w:r>
      <w:hyperlink r:id="rId11" w:history="1">
        <w:r w:rsidRPr="00660099">
          <w:rPr>
            <w:rStyle w:val="Hyperlink"/>
            <w:rFonts w:cstheme="minorHAnsi"/>
            <w:sz w:val="24"/>
            <w:szCs w:val="24"/>
          </w:rPr>
          <w:t>janne.gronlund@gasum.com</w:t>
        </w:r>
      </w:hyperlink>
      <w:r w:rsidRPr="00C92E2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ED6E703" w14:textId="77777777" w:rsidR="007B0B47" w:rsidRPr="007B0B47" w:rsidRDefault="007B0B47" w:rsidP="00A91DA5">
      <w:pPr>
        <w:rPr>
          <w:rFonts w:cstheme="minorHAnsi"/>
          <w:sz w:val="24"/>
          <w:szCs w:val="24"/>
        </w:rPr>
      </w:pPr>
    </w:p>
    <w:sectPr w:rsidR="007B0B47" w:rsidRPr="007B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6AD79" w16cid:durableId="2192B715"/>
  <w16cid:commentId w16cid:paraId="67C5AEAC" w16cid:durableId="2192B75F"/>
  <w16cid:commentId w16cid:paraId="6DE5E7B9" w16cid:durableId="218E4A47"/>
  <w16cid:commentId w16cid:paraId="56258222" w16cid:durableId="218E970E"/>
  <w16cid:commentId w16cid:paraId="07520836" w16cid:durableId="2192BD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070A" w14:textId="77777777" w:rsidR="00D60A0C" w:rsidRDefault="00D60A0C" w:rsidP="009D2662">
      <w:pPr>
        <w:spacing w:after="0" w:line="240" w:lineRule="auto"/>
      </w:pPr>
      <w:r>
        <w:separator/>
      </w:r>
    </w:p>
  </w:endnote>
  <w:endnote w:type="continuationSeparator" w:id="0">
    <w:p w14:paraId="553E1798" w14:textId="77777777" w:rsidR="00D60A0C" w:rsidRDefault="00D60A0C" w:rsidP="009D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EB7B" w14:textId="77777777" w:rsidR="00D60A0C" w:rsidRDefault="00D60A0C" w:rsidP="009D2662">
      <w:pPr>
        <w:spacing w:after="0" w:line="240" w:lineRule="auto"/>
      </w:pPr>
      <w:r>
        <w:separator/>
      </w:r>
    </w:p>
  </w:footnote>
  <w:footnote w:type="continuationSeparator" w:id="0">
    <w:p w14:paraId="1DA4AC41" w14:textId="77777777" w:rsidR="00D60A0C" w:rsidRDefault="00D60A0C" w:rsidP="009D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DDB"/>
    <w:multiLevelType w:val="hybridMultilevel"/>
    <w:tmpl w:val="CDCA5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77A"/>
    <w:multiLevelType w:val="hybridMultilevel"/>
    <w:tmpl w:val="8ECE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578AD"/>
    <w:multiLevelType w:val="hybridMultilevel"/>
    <w:tmpl w:val="F2A2E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5AB4"/>
    <w:multiLevelType w:val="hybridMultilevel"/>
    <w:tmpl w:val="F2A2E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C93"/>
    <w:multiLevelType w:val="hybridMultilevel"/>
    <w:tmpl w:val="F2A2E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592"/>
    <w:multiLevelType w:val="hybridMultilevel"/>
    <w:tmpl w:val="003EB288"/>
    <w:lvl w:ilvl="0" w:tplc="8E0835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0A7E"/>
    <w:multiLevelType w:val="hybridMultilevel"/>
    <w:tmpl w:val="85102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1BD6"/>
    <w:multiLevelType w:val="hybridMultilevel"/>
    <w:tmpl w:val="0FD84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9B131B"/>
    <w:multiLevelType w:val="hybridMultilevel"/>
    <w:tmpl w:val="51E63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5"/>
    <w:rsid w:val="000129A8"/>
    <w:rsid w:val="00012A9B"/>
    <w:rsid w:val="000339F9"/>
    <w:rsid w:val="000351A9"/>
    <w:rsid w:val="00041AFB"/>
    <w:rsid w:val="0004621C"/>
    <w:rsid w:val="000471BE"/>
    <w:rsid w:val="000607F1"/>
    <w:rsid w:val="000655DD"/>
    <w:rsid w:val="000B2505"/>
    <w:rsid w:val="000B34E6"/>
    <w:rsid w:val="000D10E0"/>
    <w:rsid w:val="000E4ABB"/>
    <w:rsid w:val="00124C83"/>
    <w:rsid w:val="00146927"/>
    <w:rsid w:val="0019142C"/>
    <w:rsid w:val="001A1C96"/>
    <w:rsid w:val="001A2D00"/>
    <w:rsid w:val="001C1076"/>
    <w:rsid w:val="001D66E2"/>
    <w:rsid w:val="001E035B"/>
    <w:rsid w:val="001E7EF1"/>
    <w:rsid w:val="002119C0"/>
    <w:rsid w:val="002337B4"/>
    <w:rsid w:val="00246BF1"/>
    <w:rsid w:val="00250023"/>
    <w:rsid w:val="002618A0"/>
    <w:rsid w:val="0027155F"/>
    <w:rsid w:val="0027665B"/>
    <w:rsid w:val="0028288D"/>
    <w:rsid w:val="00282A04"/>
    <w:rsid w:val="00284366"/>
    <w:rsid w:val="002878A5"/>
    <w:rsid w:val="002A762A"/>
    <w:rsid w:val="002C328F"/>
    <w:rsid w:val="002D32C4"/>
    <w:rsid w:val="002D41D6"/>
    <w:rsid w:val="002E5607"/>
    <w:rsid w:val="002F0F1A"/>
    <w:rsid w:val="002F75F8"/>
    <w:rsid w:val="00314E22"/>
    <w:rsid w:val="00324B60"/>
    <w:rsid w:val="00330CD0"/>
    <w:rsid w:val="003349D8"/>
    <w:rsid w:val="00336C8E"/>
    <w:rsid w:val="00337B4D"/>
    <w:rsid w:val="0036454D"/>
    <w:rsid w:val="00374CB6"/>
    <w:rsid w:val="003766A8"/>
    <w:rsid w:val="00376B51"/>
    <w:rsid w:val="00391A29"/>
    <w:rsid w:val="003B770B"/>
    <w:rsid w:val="003C6B2E"/>
    <w:rsid w:val="003F04D0"/>
    <w:rsid w:val="003F1A66"/>
    <w:rsid w:val="0040210A"/>
    <w:rsid w:val="00406FD1"/>
    <w:rsid w:val="00417E9D"/>
    <w:rsid w:val="00423E16"/>
    <w:rsid w:val="00427A54"/>
    <w:rsid w:val="00427CA9"/>
    <w:rsid w:val="0045134F"/>
    <w:rsid w:val="0046531B"/>
    <w:rsid w:val="004715C9"/>
    <w:rsid w:val="00471D3B"/>
    <w:rsid w:val="00474C5E"/>
    <w:rsid w:val="00484B12"/>
    <w:rsid w:val="0048552C"/>
    <w:rsid w:val="00486CE5"/>
    <w:rsid w:val="004B6331"/>
    <w:rsid w:val="004D4DDC"/>
    <w:rsid w:val="004D5195"/>
    <w:rsid w:val="004E6B5F"/>
    <w:rsid w:val="004F34F3"/>
    <w:rsid w:val="004F7C55"/>
    <w:rsid w:val="00502464"/>
    <w:rsid w:val="00504664"/>
    <w:rsid w:val="005222A7"/>
    <w:rsid w:val="0053051E"/>
    <w:rsid w:val="00543A4C"/>
    <w:rsid w:val="00555291"/>
    <w:rsid w:val="00567B3B"/>
    <w:rsid w:val="00572182"/>
    <w:rsid w:val="00594E32"/>
    <w:rsid w:val="00595C62"/>
    <w:rsid w:val="005C71F4"/>
    <w:rsid w:val="005C7926"/>
    <w:rsid w:val="005D22C9"/>
    <w:rsid w:val="005E1442"/>
    <w:rsid w:val="005E49AA"/>
    <w:rsid w:val="005E674C"/>
    <w:rsid w:val="005F191E"/>
    <w:rsid w:val="005F5319"/>
    <w:rsid w:val="005F5F3C"/>
    <w:rsid w:val="005F734A"/>
    <w:rsid w:val="0062295E"/>
    <w:rsid w:val="00631861"/>
    <w:rsid w:val="00637E93"/>
    <w:rsid w:val="00653692"/>
    <w:rsid w:val="00677589"/>
    <w:rsid w:val="00681818"/>
    <w:rsid w:val="00690659"/>
    <w:rsid w:val="006C4312"/>
    <w:rsid w:val="006D2D14"/>
    <w:rsid w:val="006D7A50"/>
    <w:rsid w:val="00726694"/>
    <w:rsid w:val="007321AA"/>
    <w:rsid w:val="0078390B"/>
    <w:rsid w:val="00787E02"/>
    <w:rsid w:val="00795375"/>
    <w:rsid w:val="007A086C"/>
    <w:rsid w:val="007A4283"/>
    <w:rsid w:val="007B0B47"/>
    <w:rsid w:val="007B0D4A"/>
    <w:rsid w:val="007B2699"/>
    <w:rsid w:val="007C5F79"/>
    <w:rsid w:val="007D0A16"/>
    <w:rsid w:val="007D4CBC"/>
    <w:rsid w:val="007F085E"/>
    <w:rsid w:val="007F10F8"/>
    <w:rsid w:val="00813D2A"/>
    <w:rsid w:val="00815E2F"/>
    <w:rsid w:val="00822513"/>
    <w:rsid w:val="008400FA"/>
    <w:rsid w:val="00840E0D"/>
    <w:rsid w:val="00857A70"/>
    <w:rsid w:val="00865FDC"/>
    <w:rsid w:val="0086682A"/>
    <w:rsid w:val="00893B62"/>
    <w:rsid w:val="008964C5"/>
    <w:rsid w:val="008B1F81"/>
    <w:rsid w:val="008B5E67"/>
    <w:rsid w:val="008D1365"/>
    <w:rsid w:val="008E708F"/>
    <w:rsid w:val="008E792A"/>
    <w:rsid w:val="009110F5"/>
    <w:rsid w:val="009311B5"/>
    <w:rsid w:val="00951A72"/>
    <w:rsid w:val="00963678"/>
    <w:rsid w:val="00970504"/>
    <w:rsid w:val="00977F10"/>
    <w:rsid w:val="009A0AFE"/>
    <w:rsid w:val="009C120A"/>
    <w:rsid w:val="009C48DB"/>
    <w:rsid w:val="009D2662"/>
    <w:rsid w:val="00A03789"/>
    <w:rsid w:val="00A066A2"/>
    <w:rsid w:val="00A152A9"/>
    <w:rsid w:val="00A15684"/>
    <w:rsid w:val="00A25672"/>
    <w:rsid w:val="00A30EF9"/>
    <w:rsid w:val="00A55950"/>
    <w:rsid w:val="00A91DA5"/>
    <w:rsid w:val="00AC6ED4"/>
    <w:rsid w:val="00AD1410"/>
    <w:rsid w:val="00AE0D41"/>
    <w:rsid w:val="00AE1A24"/>
    <w:rsid w:val="00B00BE3"/>
    <w:rsid w:val="00B038B8"/>
    <w:rsid w:val="00B11AE9"/>
    <w:rsid w:val="00B15C5F"/>
    <w:rsid w:val="00B30C6B"/>
    <w:rsid w:val="00B32393"/>
    <w:rsid w:val="00B34639"/>
    <w:rsid w:val="00B51696"/>
    <w:rsid w:val="00B63746"/>
    <w:rsid w:val="00B67A50"/>
    <w:rsid w:val="00B76F90"/>
    <w:rsid w:val="00B771DA"/>
    <w:rsid w:val="00B82CBD"/>
    <w:rsid w:val="00BA3225"/>
    <w:rsid w:val="00BA4535"/>
    <w:rsid w:val="00BA78EC"/>
    <w:rsid w:val="00BB2BA5"/>
    <w:rsid w:val="00BB5E66"/>
    <w:rsid w:val="00BC29F1"/>
    <w:rsid w:val="00BC2CC8"/>
    <w:rsid w:val="00BD796C"/>
    <w:rsid w:val="00BE4B8E"/>
    <w:rsid w:val="00C108B7"/>
    <w:rsid w:val="00C120FF"/>
    <w:rsid w:val="00C35048"/>
    <w:rsid w:val="00C35CE9"/>
    <w:rsid w:val="00C55CB5"/>
    <w:rsid w:val="00C638CC"/>
    <w:rsid w:val="00C84231"/>
    <w:rsid w:val="00C92E2F"/>
    <w:rsid w:val="00CD2AEA"/>
    <w:rsid w:val="00CE2239"/>
    <w:rsid w:val="00CE3880"/>
    <w:rsid w:val="00CF4076"/>
    <w:rsid w:val="00D0023B"/>
    <w:rsid w:val="00D0079F"/>
    <w:rsid w:val="00D01A34"/>
    <w:rsid w:val="00D102A1"/>
    <w:rsid w:val="00D1388B"/>
    <w:rsid w:val="00D1415D"/>
    <w:rsid w:val="00D20109"/>
    <w:rsid w:val="00D226CD"/>
    <w:rsid w:val="00D60A0C"/>
    <w:rsid w:val="00D62A96"/>
    <w:rsid w:val="00D6634E"/>
    <w:rsid w:val="00D701B5"/>
    <w:rsid w:val="00D73437"/>
    <w:rsid w:val="00D81B1A"/>
    <w:rsid w:val="00D83424"/>
    <w:rsid w:val="00DB0EBB"/>
    <w:rsid w:val="00DB340D"/>
    <w:rsid w:val="00DD239C"/>
    <w:rsid w:val="00DD3983"/>
    <w:rsid w:val="00DF1D2F"/>
    <w:rsid w:val="00DF2265"/>
    <w:rsid w:val="00E004C4"/>
    <w:rsid w:val="00E127A5"/>
    <w:rsid w:val="00E31EC8"/>
    <w:rsid w:val="00E352C2"/>
    <w:rsid w:val="00E4020E"/>
    <w:rsid w:val="00E42A58"/>
    <w:rsid w:val="00E5067C"/>
    <w:rsid w:val="00E566DF"/>
    <w:rsid w:val="00E62555"/>
    <w:rsid w:val="00E77729"/>
    <w:rsid w:val="00EA0B29"/>
    <w:rsid w:val="00EA175F"/>
    <w:rsid w:val="00EA39F4"/>
    <w:rsid w:val="00EB3C7B"/>
    <w:rsid w:val="00EC2A99"/>
    <w:rsid w:val="00EC6D2A"/>
    <w:rsid w:val="00F15381"/>
    <w:rsid w:val="00F209D9"/>
    <w:rsid w:val="00F34A58"/>
    <w:rsid w:val="00F35575"/>
    <w:rsid w:val="00F54A67"/>
    <w:rsid w:val="00F82A43"/>
    <w:rsid w:val="00FD590B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049"/>
  <w15:chartTrackingRefBased/>
  <w15:docId w15:val="{9AA93533-8D67-4C3C-BD20-AD13CD0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5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0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C7"/>
    <w:rPr>
      <w:b/>
      <w:bCs/>
      <w:sz w:val="20"/>
      <w:szCs w:val="20"/>
    </w:rPr>
  </w:style>
  <w:style w:type="paragraph" w:customStyle="1" w:styleId="Default">
    <w:name w:val="Default"/>
    <w:rsid w:val="00E35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D23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62"/>
  </w:style>
  <w:style w:type="paragraph" w:styleId="Footer">
    <w:name w:val="footer"/>
    <w:basedOn w:val="Normal"/>
    <w:link w:val="FooterChar"/>
    <w:uiPriority w:val="99"/>
    <w:unhideWhenUsed/>
    <w:rsid w:val="009D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e.gronlund@gasum.com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Veiko.aunapuu@elering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3B9AADF7896749813D01000EA8A9DE" ma:contentTypeVersion="6" ma:contentTypeDescription="Luo uusi asiakirja." ma:contentTypeScope="" ma:versionID="073c439a8096d1beb3196b4124b00374">
  <xsd:schema xmlns:xsd="http://www.w3.org/2001/XMLSchema" xmlns:xs="http://www.w3.org/2001/XMLSchema" xmlns:p="http://schemas.microsoft.com/office/2006/metadata/properties" xmlns:ns2="dee7b538-72b2-4f6d-a6cc-029f815b5bfd" targetNamespace="http://schemas.microsoft.com/office/2006/metadata/properties" ma:root="true" ma:fieldsID="5cf39a7aac24ff0547e349566ff472b6" ns2:_="">
    <xsd:import namespace="dee7b538-72b2-4f6d-a6cc-029f815b5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b538-72b2-4f6d-a6cc-029f815b5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CB9D4-5E11-4675-8064-A929E16E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E9CBC-3E5C-4D0C-B097-A73342C6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7b538-72b2-4f6d-a6cc-029f815b5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D25F4-FC40-4C95-BCCB-8CB26C423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Myötyri</dc:creator>
  <cp:keywords/>
  <dc:description/>
  <cp:lastModifiedBy>Kaisa Jette Särekanno</cp:lastModifiedBy>
  <cp:revision>4</cp:revision>
  <dcterms:created xsi:type="dcterms:W3CDTF">2019-12-06T12:08:00Z</dcterms:created>
  <dcterms:modified xsi:type="dcterms:W3CDTF">2019-12-10T09:58:00Z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0x010100813B9AADF7896749813D01000EA8A9DE</vt:lpwstr>
  </property>
</Properties>
</file>