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83" w:type="pct"/>
        <w:tblLayout w:type="fixed"/>
        <w:tblCellMar>
          <w:left w:w="70" w:type="dxa"/>
          <w:right w:w="70" w:type="dxa"/>
        </w:tblCellMar>
        <w:tblLook w:val="04A0" w:firstRow="1" w:lastRow="0" w:firstColumn="1" w:lastColumn="0" w:noHBand="0" w:noVBand="1"/>
      </w:tblPr>
      <w:tblGrid>
        <w:gridCol w:w="712"/>
        <w:gridCol w:w="2263"/>
        <w:gridCol w:w="2125"/>
        <w:gridCol w:w="2694"/>
        <w:gridCol w:w="2835"/>
        <w:gridCol w:w="2500"/>
        <w:gridCol w:w="2497"/>
      </w:tblGrid>
      <w:tr w:rsidR="00681F8C" w:rsidRPr="00681F8C" w14:paraId="3DFBAFC1" w14:textId="77777777" w:rsidTr="009761EC">
        <w:trPr>
          <w:gridAfter w:val="1"/>
          <w:wAfter w:w="799" w:type="pct"/>
          <w:trHeight w:val="600"/>
        </w:trPr>
        <w:tc>
          <w:tcPr>
            <w:tcW w:w="2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8F8B91" w14:textId="77777777" w:rsidR="00681F8C" w:rsidRPr="00681F8C" w:rsidRDefault="00681F8C" w:rsidP="006A7973">
            <w:pPr>
              <w:spacing w:after="0" w:line="240" w:lineRule="auto"/>
              <w:rPr>
                <w:rFonts w:ascii="Calibri" w:eastAsia="Times New Roman" w:hAnsi="Calibri" w:cs="Calibri"/>
                <w:b/>
                <w:bCs/>
                <w:color w:val="000000"/>
                <w:lang w:val="et-EE" w:eastAsia="et-EE"/>
              </w:rPr>
            </w:pPr>
            <w:bookmarkStart w:id="0" w:name="_GoBack"/>
            <w:bookmarkEnd w:id="0"/>
            <w:r w:rsidRPr="00681F8C">
              <w:rPr>
                <w:rFonts w:ascii="Calibri" w:eastAsia="Times New Roman" w:hAnsi="Calibri" w:cs="Calibri"/>
                <w:b/>
                <w:bCs/>
                <w:color w:val="000000"/>
                <w:lang w:val="et-EE" w:eastAsia="et-EE"/>
              </w:rPr>
              <w:t>Points</w:t>
            </w:r>
          </w:p>
        </w:tc>
        <w:tc>
          <w:tcPr>
            <w:tcW w:w="72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2EA2580" w14:textId="77777777" w:rsidR="00681F8C" w:rsidRPr="00681F8C" w:rsidRDefault="00B06992" w:rsidP="006A7973">
            <w:pPr>
              <w:spacing w:after="0" w:line="240" w:lineRule="auto"/>
              <w:rPr>
                <w:rFonts w:ascii="Calibri" w:eastAsia="Times New Roman" w:hAnsi="Calibri" w:cs="Calibri"/>
                <w:b/>
                <w:bCs/>
                <w:color w:val="000000"/>
                <w:lang w:val="et-EE" w:eastAsia="et-EE"/>
              </w:rPr>
            </w:pPr>
            <w:hyperlink r:id="rId10" w:history="1">
              <w:r w:rsidR="00681F8C" w:rsidRPr="00681F8C">
                <w:rPr>
                  <w:rStyle w:val="Hyperlink"/>
                  <w:rFonts w:ascii="Calibri" w:eastAsia="Times New Roman" w:hAnsi="Calibri" w:cs="Calibri"/>
                  <w:b/>
                  <w:bCs/>
                  <w:lang w:val="et-EE" w:eastAsia="et-EE"/>
                </w:rPr>
                <w:t>Requirements of Chapter 3 of Annex № 1 to Regulation (EC) № 715/2009</w:t>
              </w:r>
            </w:hyperlink>
          </w:p>
        </w:tc>
        <w:tc>
          <w:tcPr>
            <w:tcW w:w="68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AD6197" w14:textId="77777777" w:rsidR="00681F8C" w:rsidRPr="00681F8C" w:rsidRDefault="00681F8C" w:rsidP="006A7973">
            <w:pPr>
              <w:spacing w:after="0" w:line="240" w:lineRule="auto"/>
              <w:rPr>
                <w:rFonts w:ascii="Calibri" w:eastAsia="Times New Roman" w:hAnsi="Calibri" w:cs="Calibri"/>
                <w:color w:val="0563C1"/>
                <w:u w:val="single"/>
                <w:lang w:val="et-EE" w:eastAsia="et-EE"/>
              </w:rPr>
            </w:pPr>
            <w:r w:rsidRPr="00681F8C">
              <w:rPr>
                <w:rFonts w:ascii="Calibri" w:eastAsia="Times New Roman" w:hAnsi="Calibri" w:cs="Calibri"/>
                <w:b/>
                <w:bCs/>
                <w:color w:val="000000"/>
                <w:lang w:val="et-EE" w:eastAsia="et-EE"/>
              </w:rPr>
              <w:t>Conexus</w:t>
            </w:r>
          </w:p>
        </w:tc>
        <w:tc>
          <w:tcPr>
            <w:tcW w:w="8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859947" w14:textId="77777777" w:rsidR="00681F8C" w:rsidRPr="00681F8C" w:rsidRDefault="00681F8C" w:rsidP="006A7973">
            <w:pPr>
              <w:spacing w:after="0" w:line="240" w:lineRule="auto"/>
              <w:rPr>
                <w:rFonts w:ascii="Calibri" w:eastAsia="Times New Roman" w:hAnsi="Calibri" w:cs="Calibri"/>
                <w:b/>
                <w:bCs/>
                <w:color w:val="000000"/>
                <w:lang w:val="et-EE" w:eastAsia="et-EE"/>
              </w:rPr>
            </w:pPr>
            <w:r w:rsidRPr="00681F8C">
              <w:rPr>
                <w:rFonts w:ascii="Calibri" w:eastAsia="Times New Roman" w:hAnsi="Calibri" w:cs="Calibri"/>
                <w:b/>
                <w:bCs/>
                <w:color w:val="000000"/>
                <w:lang w:val="et-EE" w:eastAsia="et-EE"/>
              </w:rPr>
              <w:t>Elering</w:t>
            </w:r>
          </w:p>
        </w:tc>
        <w:tc>
          <w:tcPr>
            <w:tcW w:w="90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155EDD8" w14:textId="77777777" w:rsidR="00681F8C" w:rsidRPr="00681F8C" w:rsidRDefault="00681F8C" w:rsidP="006A7973">
            <w:pPr>
              <w:spacing w:after="0" w:line="240" w:lineRule="auto"/>
              <w:rPr>
                <w:rFonts w:ascii="Calibri" w:eastAsia="Times New Roman" w:hAnsi="Calibri" w:cs="Calibri"/>
                <w:b/>
                <w:bCs/>
                <w:color w:val="000000"/>
                <w:lang w:val="et-EE" w:eastAsia="et-EE"/>
              </w:rPr>
            </w:pPr>
            <w:r w:rsidRPr="00681F8C">
              <w:rPr>
                <w:rFonts w:ascii="Calibri" w:eastAsia="Times New Roman" w:hAnsi="Calibri" w:cs="Calibri"/>
                <w:b/>
                <w:bCs/>
                <w:color w:val="000000"/>
                <w:lang w:val="et-EE" w:eastAsia="et-EE"/>
              </w:rPr>
              <w:t>GasGrid</w:t>
            </w:r>
          </w:p>
        </w:tc>
        <w:tc>
          <w:tcPr>
            <w:tcW w:w="80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924206" w14:textId="77777777" w:rsidR="00681F8C" w:rsidRPr="00681F8C" w:rsidRDefault="00681F8C" w:rsidP="006A7973">
            <w:pPr>
              <w:spacing w:after="0" w:line="240" w:lineRule="auto"/>
              <w:rPr>
                <w:rFonts w:ascii="Calibri" w:eastAsia="Times New Roman" w:hAnsi="Calibri" w:cs="Calibri"/>
                <w:b/>
                <w:bCs/>
                <w:color w:val="000000"/>
                <w:lang w:val="et-EE" w:eastAsia="et-EE"/>
              </w:rPr>
            </w:pPr>
            <w:r w:rsidRPr="00681F8C">
              <w:rPr>
                <w:rFonts w:ascii="Calibri" w:eastAsia="Times New Roman" w:hAnsi="Calibri" w:cs="Calibri"/>
                <w:b/>
                <w:bCs/>
                <w:color w:val="000000"/>
                <w:lang w:val="et-EE" w:eastAsia="et-EE"/>
              </w:rPr>
              <w:t>AmberGrid</w:t>
            </w:r>
          </w:p>
        </w:tc>
      </w:tr>
      <w:tr w:rsidR="00681F8C" w:rsidRPr="00681F8C" w14:paraId="1EA74422" w14:textId="77777777" w:rsidTr="006A7973">
        <w:trPr>
          <w:gridAfter w:val="1"/>
          <w:wAfter w:w="799" w:type="pct"/>
          <w:trHeight w:val="2467"/>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7B925534" w14:textId="77777777" w:rsidR="00681F8C" w:rsidRPr="00681F8C" w:rsidRDefault="00681F8C" w:rsidP="006A7973">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3.1.2 (a)</w:t>
            </w:r>
          </w:p>
        </w:tc>
        <w:tc>
          <w:tcPr>
            <w:tcW w:w="724" w:type="pct"/>
            <w:tcBorders>
              <w:top w:val="nil"/>
              <w:left w:val="nil"/>
              <w:bottom w:val="single" w:sz="4" w:space="0" w:color="auto"/>
              <w:right w:val="single" w:sz="4" w:space="0" w:color="auto"/>
            </w:tcBorders>
            <w:shd w:val="clear" w:color="auto" w:fill="auto"/>
            <w:vAlign w:val="center"/>
            <w:hideMark/>
          </w:tcPr>
          <w:p w14:paraId="37DBA0C8"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Description of the different services offered and their charges</w:t>
            </w:r>
          </w:p>
        </w:tc>
        <w:tc>
          <w:tcPr>
            <w:tcW w:w="680" w:type="pct"/>
            <w:tcBorders>
              <w:top w:val="nil"/>
              <w:left w:val="nil"/>
              <w:bottom w:val="single" w:sz="4" w:space="0" w:color="auto"/>
              <w:right w:val="single" w:sz="4" w:space="0" w:color="auto"/>
            </w:tcBorders>
            <w:shd w:val="clear" w:color="auto" w:fill="auto"/>
            <w:vAlign w:val="center"/>
            <w:hideMark/>
          </w:tcPr>
          <w:p w14:paraId="7FB3D9EA" w14:textId="77777777" w:rsidR="00681F8C" w:rsidRPr="00681F8C" w:rsidRDefault="00B06992" w:rsidP="006A7973">
            <w:pPr>
              <w:spacing w:after="0" w:line="240" w:lineRule="auto"/>
              <w:rPr>
                <w:rFonts w:ascii="Calibri" w:eastAsia="Times New Roman" w:hAnsi="Calibri" w:cs="Calibri"/>
                <w:color w:val="000000"/>
                <w:lang w:val="et-EE" w:eastAsia="et-EE"/>
              </w:rPr>
            </w:pPr>
            <w:hyperlink r:id="rId11" w:history="1">
              <w:r w:rsidR="00681F8C" w:rsidRPr="00681F8C">
                <w:rPr>
                  <w:rStyle w:val="Hyperlink"/>
                  <w:rFonts w:ascii="Calibri" w:eastAsia="Times New Roman" w:hAnsi="Calibri" w:cs="Calibri"/>
                  <w:lang w:val="et-EE" w:eastAsia="et-EE"/>
                </w:rPr>
                <w:t>Conexus Baltic Grid Operating segments</w:t>
              </w:r>
            </w:hyperlink>
            <w:r w:rsidR="00681F8C" w:rsidRPr="00681F8C">
              <w:rPr>
                <w:rFonts w:ascii="Calibri" w:eastAsia="Times New Roman" w:hAnsi="Calibri" w:cs="Calibri"/>
                <w:color w:val="000000"/>
                <w:lang w:val="et-EE" w:eastAsia="et-EE"/>
              </w:rPr>
              <w:br/>
            </w:r>
            <w:hyperlink r:id="rId12" w:history="1">
              <w:r w:rsidR="00681F8C" w:rsidRPr="00681F8C">
                <w:rPr>
                  <w:rStyle w:val="Hyperlink"/>
                  <w:rFonts w:ascii="Calibri" w:eastAsia="Times New Roman" w:hAnsi="Calibri" w:cs="Calibri"/>
                  <w:lang w:val="et-EE" w:eastAsia="et-EE"/>
                </w:rPr>
                <w:t>Transmission and Balancing Regulations for Estonian - Latvian common balancing zone</w:t>
              </w:r>
            </w:hyperlink>
            <w:r w:rsidR="00681F8C" w:rsidRPr="00681F8C">
              <w:rPr>
                <w:rFonts w:ascii="Calibri" w:eastAsia="Times New Roman" w:hAnsi="Calibri" w:cs="Calibri"/>
                <w:color w:val="000000"/>
                <w:lang w:val="et-EE" w:eastAsia="et-EE"/>
              </w:rPr>
              <w:br/>
            </w:r>
            <w:hyperlink r:id="rId13" w:history="1">
              <w:r w:rsidR="00681F8C" w:rsidRPr="00681F8C">
                <w:rPr>
                  <w:rStyle w:val="Hyperlink"/>
                  <w:rFonts w:ascii="Calibri" w:eastAsia="Times New Roman" w:hAnsi="Calibri" w:cs="Calibri"/>
                  <w:lang w:val="et-EE" w:eastAsia="et-EE"/>
                </w:rPr>
                <w:t>Tariffs for Estonian - Latvian common balancing zone</w:t>
              </w:r>
            </w:hyperlink>
          </w:p>
        </w:tc>
        <w:tc>
          <w:tcPr>
            <w:tcW w:w="862" w:type="pct"/>
            <w:tcBorders>
              <w:top w:val="nil"/>
              <w:left w:val="nil"/>
              <w:bottom w:val="single" w:sz="4" w:space="0" w:color="auto"/>
              <w:right w:val="single" w:sz="4" w:space="0" w:color="auto"/>
            </w:tcBorders>
            <w:shd w:val="clear" w:color="auto" w:fill="auto"/>
            <w:vAlign w:val="center"/>
            <w:hideMark/>
          </w:tcPr>
          <w:p w14:paraId="31BBEE3B" w14:textId="22249962" w:rsidR="00681F8C" w:rsidRPr="00681F8C" w:rsidRDefault="00B06992" w:rsidP="006A7973">
            <w:pPr>
              <w:spacing w:after="0" w:line="240" w:lineRule="auto"/>
              <w:rPr>
                <w:rFonts w:ascii="Calibri" w:eastAsia="Times New Roman" w:hAnsi="Calibri" w:cs="Calibri"/>
                <w:color w:val="0563C1"/>
                <w:u w:val="single"/>
                <w:lang w:val="et-EE" w:eastAsia="et-EE"/>
              </w:rPr>
            </w:pPr>
            <w:hyperlink r:id="rId14" w:history="1">
              <w:r w:rsidR="00081E07" w:rsidRPr="00081E07">
                <w:rPr>
                  <w:rStyle w:val="Hyperlink"/>
                </w:rPr>
                <w:t>Service description of balancing and network services</w:t>
              </w:r>
            </w:hyperlink>
            <w:hyperlink r:id="rId15" w:history="1">
              <w:r w:rsidR="00681F8C" w:rsidRPr="00681F8C">
                <w:rPr>
                  <w:rFonts w:ascii="Calibri" w:eastAsia="Times New Roman" w:hAnsi="Calibri" w:cs="Calibri"/>
                  <w:color w:val="0563C1"/>
                  <w:u w:val="single"/>
                  <w:lang w:val="et-EE" w:eastAsia="et-EE"/>
                </w:rPr>
                <w:br/>
              </w:r>
              <w:r w:rsidR="00681F8C" w:rsidRPr="00681F8C">
                <w:rPr>
                  <w:rFonts w:ascii="Calibri" w:eastAsia="Times New Roman" w:hAnsi="Calibri" w:cs="Calibri"/>
                  <w:color w:val="0563C1"/>
                  <w:u w:val="single"/>
                  <w:lang w:val="et-EE" w:eastAsia="et-EE"/>
                </w:rPr>
                <w:br/>
              </w:r>
            </w:hyperlink>
          </w:p>
        </w:tc>
        <w:tc>
          <w:tcPr>
            <w:tcW w:w="907" w:type="pct"/>
            <w:tcBorders>
              <w:top w:val="nil"/>
              <w:left w:val="nil"/>
              <w:bottom w:val="single" w:sz="4" w:space="0" w:color="auto"/>
              <w:right w:val="single" w:sz="4" w:space="0" w:color="auto"/>
            </w:tcBorders>
            <w:shd w:val="clear" w:color="auto" w:fill="auto"/>
            <w:noWrap/>
            <w:vAlign w:val="center"/>
            <w:hideMark/>
          </w:tcPr>
          <w:p w14:paraId="1685483C" w14:textId="77777777" w:rsidR="00681F8C" w:rsidRDefault="00B06992" w:rsidP="006A7973">
            <w:pPr>
              <w:spacing w:after="0" w:line="240" w:lineRule="auto"/>
              <w:rPr>
                <w:rFonts w:ascii="Calibri" w:eastAsia="Times New Roman" w:hAnsi="Calibri" w:cs="Calibri"/>
                <w:color w:val="000000"/>
                <w:lang w:val="et-EE" w:eastAsia="et-EE"/>
              </w:rPr>
            </w:pPr>
            <w:hyperlink r:id="rId16" w:history="1">
              <w:r w:rsidR="005A052A" w:rsidRPr="005A052A">
                <w:rPr>
                  <w:rStyle w:val="Hyperlink"/>
                  <w:rFonts w:ascii="Calibri" w:eastAsia="Times New Roman" w:hAnsi="Calibri" w:cs="Calibri"/>
                  <w:lang w:val="et-EE" w:eastAsia="et-EE"/>
                </w:rPr>
                <w:t>Description of the different services offered</w:t>
              </w:r>
            </w:hyperlink>
          </w:p>
          <w:p w14:paraId="7A0E8170" w14:textId="77777777" w:rsidR="005A052A" w:rsidRDefault="005A052A" w:rsidP="006A7973">
            <w:pPr>
              <w:spacing w:after="0" w:line="240" w:lineRule="auto"/>
              <w:rPr>
                <w:rFonts w:ascii="Calibri" w:eastAsia="Times New Roman" w:hAnsi="Calibri" w:cs="Calibri"/>
                <w:color w:val="000000"/>
                <w:lang w:val="et-EE" w:eastAsia="et-EE"/>
              </w:rPr>
            </w:pPr>
          </w:p>
          <w:p w14:paraId="11AF099B" w14:textId="5768CD3E" w:rsidR="005A052A" w:rsidRPr="00681F8C" w:rsidRDefault="00B06992" w:rsidP="006A7973">
            <w:pPr>
              <w:spacing w:after="0" w:line="240" w:lineRule="auto"/>
              <w:rPr>
                <w:rFonts w:ascii="Calibri" w:eastAsia="Times New Roman" w:hAnsi="Calibri" w:cs="Calibri"/>
                <w:color w:val="000000"/>
                <w:lang w:val="et-EE" w:eastAsia="et-EE"/>
              </w:rPr>
            </w:pPr>
            <w:hyperlink r:id="rId17" w:history="1">
              <w:r w:rsidR="005A052A" w:rsidRPr="005A052A">
                <w:rPr>
                  <w:rStyle w:val="Hyperlink"/>
                  <w:rFonts w:ascii="Calibri" w:eastAsia="Times New Roman" w:hAnsi="Calibri" w:cs="Calibri"/>
                  <w:lang w:val="et-EE" w:eastAsia="et-EE"/>
                </w:rPr>
                <w:t>Tariffs</w:t>
              </w:r>
            </w:hyperlink>
          </w:p>
        </w:tc>
        <w:tc>
          <w:tcPr>
            <w:tcW w:w="800" w:type="pct"/>
            <w:tcBorders>
              <w:top w:val="nil"/>
              <w:left w:val="nil"/>
              <w:bottom w:val="single" w:sz="4" w:space="0" w:color="auto"/>
              <w:right w:val="single" w:sz="4" w:space="0" w:color="auto"/>
            </w:tcBorders>
            <w:shd w:val="clear" w:color="auto" w:fill="auto"/>
            <w:noWrap/>
            <w:vAlign w:val="center"/>
            <w:hideMark/>
          </w:tcPr>
          <w:p w14:paraId="0A07506E" w14:textId="7271BD4A" w:rsidR="00F67A92" w:rsidRDefault="00B06992" w:rsidP="006A7973">
            <w:pPr>
              <w:spacing w:after="0" w:line="240" w:lineRule="auto"/>
              <w:rPr>
                <w:rFonts w:ascii="Calibri" w:eastAsia="Times New Roman" w:hAnsi="Calibri" w:cs="Calibri"/>
                <w:color w:val="000000"/>
                <w:lang w:val="et-EE" w:eastAsia="et-EE"/>
              </w:rPr>
            </w:pPr>
            <w:hyperlink r:id="rId18" w:history="1">
              <w:r w:rsidR="00F67A92" w:rsidRPr="003D0AF9">
                <w:rPr>
                  <w:rStyle w:val="Hyperlink"/>
                  <w:rFonts w:ascii="Calibri" w:eastAsia="Times New Roman" w:hAnsi="Calibri" w:cs="Calibri"/>
                  <w:lang w:val="et-EE" w:eastAsia="et-EE"/>
                </w:rPr>
                <w:t>https://www.ambergrid.lt/en/services/transmissionnetworkcode</w:t>
              </w:r>
            </w:hyperlink>
          </w:p>
          <w:p w14:paraId="56883559" w14:textId="3C69DA91" w:rsidR="00F67A92" w:rsidRDefault="00B06992" w:rsidP="006A7973">
            <w:pPr>
              <w:spacing w:after="0" w:line="240" w:lineRule="auto"/>
              <w:rPr>
                <w:rFonts w:ascii="Calibri" w:eastAsia="Times New Roman" w:hAnsi="Calibri" w:cs="Calibri"/>
                <w:color w:val="000000"/>
                <w:lang w:val="et-EE" w:eastAsia="et-EE"/>
              </w:rPr>
            </w:pPr>
            <w:hyperlink r:id="rId19" w:history="1">
              <w:r w:rsidR="00F67A92" w:rsidRPr="003D0AF9">
                <w:rPr>
                  <w:rStyle w:val="Hyperlink"/>
                  <w:rFonts w:ascii="Calibri" w:eastAsia="Times New Roman" w:hAnsi="Calibri" w:cs="Calibri"/>
                  <w:lang w:val="et-EE" w:eastAsia="et-EE"/>
                </w:rPr>
                <w:t>https://www.ambergrid.lt/en/services/balancing/rules-of-balancing</w:t>
              </w:r>
            </w:hyperlink>
          </w:p>
          <w:p w14:paraId="2344E927" w14:textId="7FAC0C88" w:rsidR="00F67A92" w:rsidRDefault="00B06992" w:rsidP="006A7973">
            <w:pPr>
              <w:spacing w:after="0" w:line="240" w:lineRule="auto"/>
              <w:rPr>
                <w:rFonts w:ascii="Calibri" w:eastAsia="Times New Roman" w:hAnsi="Calibri" w:cs="Calibri"/>
                <w:color w:val="000000"/>
                <w:lang w:val="et-EE" w:eastAsia="et-EE"/>
              </w:rPr>
            </w:pPr>
            <w:hyperlink r:id="rId20" w:history="1">
              <w:r w:rsidR="00F67A92" w:rsidRPr="003D0AF9">
                <w:rPr>
                  <w:rStyle w:val="Hyperlink"/>
                  <w:rFonts w:ascii="Calibri" w:eastAsia="Times New Roman" w:hAnsi="Calibri" w:cs="Calibri"/>
                  <w:lang w:val="et-EE" w:eastAsia="et-EE"/>
                </w:rPr>
                <w:t>https://www.ambergrid.lt/en/services/tariffs-prices/tariffs-effective-from-1-january-2021</w:t>
              </w:r>
            </w:hyperlink>
          </w:p>
          <w:p w14:paraId="1DEB8ACD" w14:textId="77777777" w:rsidR="00F67A92" w:rsidRDefault="00F67A92" w:rsidP="006A7973">
            <w:pPr>
              <w:spacing w:after="0" w:line="240" w:lineRule="auto"/>
              <w:rPr>
                <w:rFonts w:ascii="Calibri" w:eastAsia="Times New Roman" w:hAnsi="Calibri" w:cs="Calibri"/>
                <w:color w:val="000000"/>
                <w:lang w:val="et-EE" w:eastAsia="et-EE"/>
              </w:rPr>
            </w:pPr>
          </w:p>
          <w:p w14:paraId="03102D52" w14:textId="46A456EC" w:rsidR="00F67A92" w:rsidRPr="00681F8C" w:rsidRDefault="00F67A92" w:rsidP="006A7973">
            <w:pPr>
              <w:spacing w:after="0" w:line="240" w:lineRule="auto"/>
              <w:rPr>
                <w:rFonts w:ascii="Calibri" w:eastAsia="Times New Roman" w:hAnsi="Calibri" w:cs="Calibri"/>
                <w:color w:val="000000"/>
                <w:lang w:val="et-EE" w:eastAsia="et-EE"/>
              </w:rPr>
            </w:pPr>
          </w:p>
        </w:tc>
      </w:tr>
      <w:tr w:rsidR="00681F8C" w:rsidRPr="00681F8C" w14:paraId="651A01DE"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1ED9FAD"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(b)</w:t>
            </w:r>
          </w:p>
        </w:tc>
        <w:tc>
          <w:tcPr>
            <w:tcW w:w="724" w:type="pct"/>
            <w:tcBorders>
              <w:top w:val="nil"/>
              <w:left w:val="nil"/>
              <w:bottom w:val="single" w:sz="4" w:space="0" w:color="auto"/>
              <w:right w:val="single" w:sz="4" w:space="0" w:color="auto"/>
            </w:tcBorders>
            <w:shd w:val="clear" w:color="auto" w:fill="auto"/>
            <w:vAlign w:val="center"/>
            <w:hideMark/>
          </w:tcPr>
          <w:p w14:paraId="641379BA"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Types of offered transportation contracts</w:t>
            </w:r>
          </w:p>
        </w:tc>
        <w:tc>
          <w:tcPr>
            <w:tcW w:w="680" w:type="pct"/>
            <w:tcBorders>
              <w:top w:val="nil"/>
              <w:left w:val="nil"/>
              <w:bottom w:val="single" w:sz="4" w:space="0" w:color="auto"/>
              <w:right w:val="single" w:sz="4" w:space="0" w:color="auto"/>
            </w:tcBorders>
            <w:shd w:val="clear" w:color="auto" w:fill="auto"/>
            <w:vAlign w:val="center"/>
            <w:hideMark/>
          </w:tcPr>
          <w:p w14:paraId="5A31B228" w14:textId="77777777" w:rsidR="00681F8C" w:rsidRPr="00681F8C" w:rsidRDefault="00B06992" w:rsidP="006A7973">
            <w:pPr>
              <w:spacing w:after="0" w:line="240" w:lineRule="auto"/>
              <w:rPr>
                <w:rFonts w:ascii="Calibri" w:eastAsia="Times New Roman" w:hAnsi="Calibri" w:cs="Calibri"/>
                <w:color w:val="000000"/>
                <w:lang w:val="et-EE" w:eastAsia="et-EE"/>
              </w:rPr>
            </w:pPr>
            <w:hyperlink r:id="rId21" w:history="1">
              <w:r w:rsidR="00681F8C" w:rsidRPr="00681F8C">
                <w:rPr>
                  <w:rStyle w:val="Hyperlink"/>
                  <w:rFonts w:ascii="Calibri" w:eastAsia="Times New Roman" w:hAnsi="Calibri" w:cs="Calibri"/>
                  <w:lang w:val="et-EE" w:eastAsia="et-EE"/>
                </w:rPr>
                <w:t>Transmission and Balancing Agreements for Estonian - Latvian common balancing zone</w:t>
              </w:r>
            </w:hyperlink>
          </w:p>
        </w:tc>
        <w:tc>
          <w:tcPr>
            <w:tcW w:w="862" w:type="pct"/>
            <w:tcBorders>
              <w:top w:val="nil"/>
              <w:left w:val="nil"/>
              <w:bottom w:val="single" w:sz="4" w:space="0" w:color="auto"/>
              <w:right w:val="single" w:sz="4" w:space="0" w:color="auto"/>
            </w:tcBorders>
            <w:shd w:val="clear" w:color="auto" w:fill="auto"/>
            <w:vAlign w:val="center"/>
            <w:hideMark/>
          </w:tcPr>
          <w:p w14:paraId="0A2B20E7" w14:textId="6DAAD68E" w:rsidR="00081E07" w:rsidRDefault="00B06992" w:rsidP="006A7973">
            <w:pPr>
              <w:spacing w:after="0" w:line="240" w:lineRule="auto"/>
            </w:pPr>
            <w:hyperlink r:id="rId22" w:anchor="tab1" w:history="1">
              <w:r w:rsidR="00081E07" w:rsidRPr="00081E07">
                <w:rPr>
                  <w:rStyle w:val="Hyperlink"/>
                </w:rPr>
                <w:t>Transportation contracts described under network rules</w:t>
              </w:r>
            </w:hyperlink>
          </w:p>
          <w:p w14:paraId="3F8C7D5A" w14:textId="5614E694" w:rsidR="00681F8C" w:rsidRPr="00681F8C" w:rsidRDefault="00681F8C" w:rsidP="006A7973">
            <w:pPr>
              <w:spacing w:after="0" w:line="240" w:lineRule="auto"/>
              <w:rPr>
                <w:rFonts w:ascii="Calibri" w:eastAsia="Times New Roman" w:hAnsi="Calibri" w:cs="Calibri"/>
                <w:color w:val="000000"/>
                <w:lang w:val="et-EE" w:eastAsia="et-EE"/>
              </w:rPr>
            </w:pPr>
          </w:p>
        </w:tc>
        <w:tc>
          <w:tcPr>
            <w:tcW w:w="907" w:type="pct"/>
            <w:tcBorders>
              <w:top w:val="nil"/>
              <w:left w:val="nil"/>
              <w:bottom w:val="single" w:sz="4" w:space="0" w:color="auto"/>
              <w:right w:val="single" w:sz="4" w:space="0" w:color="auto"/>
            </w:tcBorders>
            <w:shd w:val="clear" w:color="auto" w:fill="auto"/>
            <w:noWrap/>
            <w:vAlign w:val="center"/>
            <w:hideMark/>
          </w:tcPr>
          <w:p w14:paraId="5517F9DF" w14:textId="5388941A" w:rsidR="00681F8C" w:rsidRDefault="00B06992" w:rsidP="006A7973">
            <w:pPr>
              <w:spacing w:after="0" w:line="240" w:lineRule="auto"/>
              <w:rPr>
                <w:rStyle w:val="Hyperlink"/>
                <w:rFonts w:ascii="Calibri" w:eastAsia="Times New Roman" w:hAnsi="Calibri" w:cs="Calibri"/>
                <w:lang w:val="et-EE" w:eastAsia="et-EE"/>
              </w:rPr>
            </w:pPr>
            <w:hyperlink r:id="rId23" w:history="1">
              <w:r w:rsidR="00CD5AD2" w:rsidRPr="00CD5AD2">
                <w:rPr>
                  <w:rStyle w:val="Hyperlink"/>
                  <w:rFonts w:ascii="Calibri" w:eastAsia="Times New Roman" w:hAnsi="Calibri" w:cs="Calibri"/>
                  <w:lang w:val="et-EE" w:eastAsia="et-EE"/>
                </w:rPr>
                <w:t>Transportation contracts offered by Gasgrid (chapter 5.2)</w:t>
              </w:r>
            </w:hyperlink>
          </w:p>
          <w:p w14:paraId="39A69651" w14:textId="46E17858" w:rsidR="0089378C" w:rsidRDefault="0089378C" w:rsidP="006A7973">
            <w:pPr>
              <w:spacing w:after="0" w:line="240" w:lineRule="auto"/>
              <w:rPr>
                <w:rStyle w:val="Hyperlink"/>
                <w:rFonts w:ascii="Calibri" w:eastAsia="Times New Roman" w:hAnsi="Calibri" w:cs="Calibri"/>
                <w:lang w:val="et-EE" w:eastAsia="et-EE"/>
              </w:rPr>
            </w:pPr>
          </w:p>
          <w:p w14:paraId="52D2966B" w14:textId="1D36EA20" w:rsidR="0089378C" w:rsidRDefault="00B06992" w:rsidP="006A7973">
            <w:pPr>
              <w:spacing w:after="0" w:line="240" w:lineRule="auto"/>
              <w:rPr>
                <w:rStyle w:val="Hyperlink"/>
                <w:rFonts w:ascii="Calibri" w:eastAsia="Times New Roman" w:hAnsi="Calibri" w:cs="Calibri"/>
                <w:lang w:val="et-EE" w:eastAsia="et-EE"/>
              </w:rPr>
            </w:pPr>
            <w:hyperlink r:id="rId24" w:history="1">
              <w:r w:rsidR="000D4BBD" w:rsidRPr="000D4BBD">
                <w:rPr>
                  <w:rStyle w:val="Hyperlink"/>
                  <w:rFonts w:ascii="Calibri" w:eastAsia="Times New Roman" w:hAnsi="Calibri" w:cs="Calibri"/>
                  <w:lang w:val="et-EE" w:eastAsia="et-EE"/>
                </w:rPr>
                <w:t>Transmission services</w:t>
              </w:r>
            </w:hyperlink>
          </w:p>
          <w:p w14:paraId="21B33DC4" w14:textId="77777777" w:rsidR="002E1ACF" w:rsidRDefault="002E1ACF" w:rsidP="006A7973">
            <w:pPr>
              <w:spacing w:after="0" w:line="240" w:lineRule="auto"/>
              <w:rPr>
                <w:rStyle w:val="Hyperlink"/>
                <w:rFonts w:ascii="Calibri" w:eastAsia="Times New Roman" w:hAnsi="Calibri" w:cs="Calibri"/>
                <w:lang w:eastAsia="et-EE"/>
              </w:rPr>
            </w:pPr>
          </w:p>
          <w:p w14:paraId="0BB1B0DA" w14:textId="21764225" w:rsidR="002E1ACF" w:rsidRPr="00681F8C" w:rsidRDefault="002E1ACF" w:rsidP="006A7973">
            <w:pPr>
              <w:spacing w:after="0" w:line="240" w:lineRule="auto"/>
              <w:rPr>
                <w:rFonts w:ascii="Calibri" w:eastAsia="Times New Roman" w:hAnsi="Calibri" w:cs="Calibri"/>
                <w:color w:val="000000"/>
                <w:lang w:val="et-EE" w:eastAsia="et-EE"/>
              </w:rPr>
            </w:pPr>
          </w:p>
        </w:tc>
        <w:tc>
          <w:tcPr>
            <w:tcW w:w="800" w:type="pct"/>
            <w:tcBorders>
              <w:top w:val="nil"/>
              <w:left w:val="nil"/>
              <w:bottom w:val="single" w:sz="4" w:space="0" w:color="auto"/>
              <w:right w:val="single" w:sz="4" w:space="0" w:color="auto"/>
            </w:tcBorders>
            <w:shd w:val="clear" w:color="auto" w:fill="auto"/>
            <w:noWrap/>
            <w:vAlign w:val="center"/>
            <w:hideMark/>
          </w:tcPr>
          <w:p w14:paraId="24611817" w14:textId="77777777" w:rsidR="00F67A92" w:rsidRDefault="00B06992" w:rsidP="006A7973">
            <w:pPr>
              <w:spacing w:after="0" w:line="240" w:lineRule="auto"/>
              <w:rPr>
                <w:rFonts w:ascii="Calibri" w:eastAsia="Times New Roman" w:hAnsi="Calibri" w:cs="Calibri"/>
                <w:color w:val="000000"/>
                <w:lang w:val="et-EE" w:eastAsia="et-EE"/>
              </w:rPr>
            </w:pPr>
            <w:hyperlink r:id="rId25" w:history="1">
              <w:r w:rsidR="00F67A92" w:rsidRPr="003D0AF9">
                <w:rPr>
                  <w:rStyle w:val="Hyperlink"/>
                  <w:rFonts w:ascii="Calibri" w:eastAsia="Times New Roman" w:hAnsi="Calibri" w:cs="Calibri"/>
                  <w:lang w:val="et-EE" w:eastAsia="et-EE"/>
                </w:rPr>
                <w:t>https://www.ambergrid.lt/en/services/contracts</w:t>
              </w:r>
            </w:hyperlink>
          </w:p>
          <w:p w14:paraId="3ADA55CA" w14:textId="77777777" w:rsidR="00681F8C" w:rsidRPr="00681F8C" w:rsidRDefault="00681F8C" w:rsidP="006A7973">
            <w:pPr>
              <w:spacing w:after="0" w:line="240" w:lineRule="auto"/>
              <w:rPr>
                <w:rFonts w:ascii="Calibri" w:eastAsia="Times New Roman" w:hAnsi="Calibri" w:cs="Calibri"/>
                <w:color w:val="000000"/>
                <w:lang w:val="et-EE" w:eastAsia="et-EE"/>
              </w:rPr>
            </w:pPr>
          </w:p>
        </w:tc>
      </w:tr>
      <w:tr w:rsidR="00681F8C" w:rsidRPr="00681F8C" w14:paraId="5BFCA563" w14:textId="77777777" w:rsidTr="006A7973">
        <w:trPr>
          <w:gridAfter w:val="1"/>
          <w:wAfter w:w="799" w:type="pct"/>
          <w:trHeight w:val="2063"/>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31C69989"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(c)</w:t>
            </w:r>
          </w:p>
        </w:tc>
        <w:tc>
          <w:tcPr>
            <w:tcW w:w="724" w:type="pct"/>
            <w:tcBorders>
              <w:top w:val="nil"/>
              <w:left w:val="nil"/>
              <w:bottom w:val="single" w:sz="4" w:space="0" w:color="auto"/>
              <w:right w:val="single" w:sz="4" w:space="0" w:color="auto"/>
            </w:tcBorders>
            <w:shd w:val="clear" w:color="auto" w:fill="auto"/>
            <w:vAlign w:val="center"/>
            <w:hideMark/>
          </w:tcPr>
          <w:p w14:paraId="2AFCE839"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Network code and/or the standard conditions outlining the rights and responsibilities of all network users</w:t>
            </w:r>
          </w:p>
        </w:tc>
        <w:tc>
          <w:tcPr>
            <w:tcW w:w="680" w:type="pct"/>
            <w:tcBorders>
              <w:top w:val="nil"/>
              <w:left w:val="nil"/>
              <w:bottom w:val="single" w:sz="4" w:space="0" w:color="auto"/>
              <w:right w:val="single" w:sz="4" w:space="0" w:color="auto"/>
            </w:tcBorders>
            <w:shd w:val="clear" w:color="auto" w:fill="auto"/>
            <w:vAlign w:val="center"/>
            <w:hideMark/>
          </w:tcPr>
          <w:p w14:paraId="4365A92D" w14:textId="77777777" w:rsidR="00681F8C" w:rsidRPr="00681F8C" w:rsidRDefault="00B06992" w:rsidP="006A7973">
            <w:pPr>
              <w:spacing w:after="0" w:line="240" w:lineRule="auto"/>
              <w:rPr>
                <w:rFonts w:ascii="Calibri" w:eastAsia="Times New Roman" w:hAnsi="Calibri" w:cs="Calibri"/>
                <w:color w:val="000000"/>
                <w:lang w:val="et-EE" w:eastAsia="et-EE"/>
              </w:rPr>
            </w:pPr>
            <w:hyperlink r:id="rId26" w:history="1">
              <w:r w:rsidR="00681F8C" w:rsidRPr="00681F8C">
                <w:rPr>
                  <w:rStyle w:val="Hyperlink"/>
                  <w:rFonts w:ascii="Calibri" w:eastAsia="Times New Roman" w:hAnsi="Calibri" w:cs="Calibri"/>
                  <w:lang w:val="et-EE" w:eastAsia="et-EE"/>
                </w:rPr>
                <w:t>Transmission and Balancing Regulations for Estonian - Latvian common balancing zone</w:t>
              </w:r>
            </w:hyperlink>
          </w:p>
        </w:tc>
        <w:tc>
          <w:tcPr>
            <w:tcW w:w="862" w:type="pct"/>
            <w:tcBorders>
              <w:top w:val="nil"/>
              <w:left w:val="nil"/>
              <w:bottom w:val="single" w:sz="4" w:space="0" w:color="auto"/>
              <w:right w:val="single" w:sz="4" w:space="0" w:color="auto"/>
            </w:tcBorders>
            <w:shd w:val="clear" w:color="auto" w:fill="auto"/>
            <w:vAlign w:val="center"/>
            <w:hideMark/>
          </w:tcPr>
          <w:p w14:paraId="6E71D45B" w14:textId="2850DC38" w:rsidR="00081E07" w:rsidRDefault="00B06992" w:rsidP="006A7973">
            <w:pPr>
              <w:spacing w:after="0" w:line="240" w:lineRule="auto"/>
            </w:pPr>
            <w:hyperlink r:id="rId27" w:anchor="tab1" w:history="1">
              <w:r w:rsidR="00081E07" w:rsidRPr="00081E07">
                <w:rPr>
                  <w:rStyle w:val="Hyperlink"/>
                </w:rPr>
                <w:t>Network rules</w:t>
              </w:r>
            </w:hyperlink>
            <w:r w:rsidR="00081E07">
              <w:t xml:space="preserve"> and </w:t>
            </w:r>
            <w:hyperlink r:id="rId28" w:history="1">
              <w:r w:rsidR="00081E07" w:rsidRPr="00081E07">
                <w:rPr>
                  <w:rStyle w:val="Hyperlink"/>
                </w:rPr>
                <w:t>balancing rules</w:t>
              </w:r>
            </w:hyperlink>
          </w:p>
          <w:p w14:paraId="2E17EE5A" w14:textId="2AFE0E18" w:rsidR="00E00F89" w:rsidRPr="00681F8C" w:rsidRDefault="00E00F89" w:rsidP="006A7973">
            <w:pPr>
              <w:spacing w:after="0" w:line="240" w:lineRule="auto"/>
              <w:rPr>
                <w:rFonts w:ascii="Calibri" w:eastAsia="Times New Roman" w:hAnsi="Calibri" w:cs="Calibri"/>
                <w:color w:val="0563C1"/>
                <w:u w:val="single"/>
                <w:lang w:val="et-EE" w:eastAsia="et-EE"/>
              </w:rPr>
            </w:pPr>
          </w:p>
        </w:tc>
        <w:tc>
          <w:tcPr>
            <w:tcW w:w="907" w:type="pct"/>
            <w:tcBorders>
              <w:top w:val="nil"/>
              <w:left w:val="nil"/>
              <w:bottom w:val="single" w:sz="4" w:space="0" w:color="auto"/>
              <w:right w:val="single" w:sz="4" w:space="0" w:color="auto"/>
            </w:tcBorders>
            <w:shd w:val="clear" w:color="auto" w:fill="auto"/>
            <w:noWrap/>
            <w:vAlign w:val="center"/>
            <w:hideMark/>
          </w:tcPr>
          <w:p w14:paraId="7CA11A85" w14:textId="74548832" w:rsidR="00CD5AD2" w:rsidRDefault="00B06992" w:rsidP="006A7973">
            <w:pPr>
              <w:spacing w:after="0" w:line="240" w:lineRule="auto"/>
              <w:rPr>
                <w:rFonts w:ascii="Calibri" w:eastAsia="Times New Roman" w:hAnsi="Calibri" w:cs="Calibri"/>
                <w:color w:val="000000"/>
                <w:lang w:val="et-EE" w:eastAsia="et-EE"/>
              </w:rPr>
            </w:pPr>
            <w:hyperlink r:id="rId29" w:history="1">
              <w:r w:rsidR="00CD5AD2" w:rsidRPr="00CD5AD2">
                <w:rPr>
                  <w:rStyle w:val="Hyperlink"/>
                  <w:rFonts w:ascii="Calibri" w:eastAsia="Times New Roman" w:hAnsi="Calibri" w:cs="Calibri"/>
                  <w:lang w:val="et-EE" w:eastAsia="et-EE"/>
                </w:rPr>
                <w:t>Terms and Conditions &amp; Legislation</w:t>
              </w:r>
            </w:hyperlink>
            <w:r w:rsidR="00CD5AD2">
              <w:rPr>
                <w:rFonts w:ascii="Calibri" w:eastAsia="Times New Roman" w:hAnsi="Calibri" w:cs="Calibri"/>
                <w:color w:val="000000"/>
                <w:lang w:val="et-EE" w:eastAsia="et-EE"/>
              </w:rPr>
              <w:t xml:space="preserve"> </w:t>
            </w:r>
          </w:p>
          <w:p w14:paraId="4DA44D37" w14:textId="77777777" w:rsidR="00CD5AD2" w:rsidRDefault="00CD5AD2" w:rsidP="006A7973">
            <w:pPr>
              <w:spacing w:after="0" w:line="240" w:lineRule="auto"/>
              <w:rPr>
                <w:rFonts w:ascii="Calibri" w:eastAsia="Times New Roman" w:hAnsi="Calibri" w:cs="Calibri"/>
                <w:color w:val="000000"/>
                <w:lang w:val="et-EE" w:eastAsia="et-EE"/>
              </w:rPr>
            </w:pPr>
          </w:p>
          <w:p w14:paraId="671FC5B7" w14:textId="1126D92B" w:rsidR="00CD5AD2" w:rsidRPr="00681F8C" w:rsidRDefault="00B06992" w:rsidP="006A7973">
            <w:pPr>
              <w:spacing w:after="0" w:line="240" w:lineRule="auto"/>
              <w:rPr>
                <w:rFonts w:ascii="Calibri" w:eastAsia="Times New Roman" w:hAnsi="Calibri" w:cs="Calibri"/>
                <w:color w:val="000000"/>
                <w:lang w:val="et-EE" w:eastAsia="et-EE"/>
              </w:rPr>
            </w:pPr>
            <w:hyperlink r:id="rId30" w:history="1">
              <w:r w:rsidR="00CD5AD2" w:rsidRPr="00CD5AD2">
                <w:rPr>
                  <w:rStyle w:val="Hyperlink"/>
                  <w:rFonts w:ascii="Calibri" w:eastAsia="Times New Roman" w:hAnsi="Calibri" w:cs="Calibri"/>
                  <w:lang w:val="et-EE" w:eastAsia="et-EE"/>
                </w:rPr>
                <w:t>Market rules and recommendations</w:t>
              </w:r>
            </w:hyperlink>
            <w:r w:rsidR="00CD5AD2">
              <w:rPr>
                <w:rFonts w:ascii="Calibri" w:eastAsia="Times New Roman" w:hAnsi="Calibri" w:cs="Calibri"/>
                <w:color w:val="000000"/>
                <w:lang w:val="et-EE" w:eastAsia="et-EE"/>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14:paraId="0A831ADE" w14:textId="77777777" w:rsidR="00F67A92" w:rsidRDefault="00B06992" w:rsidP="006A7973">
            <w:pPr>
              <w:spacing w:after="0" w:line="240" w:lineRule="auto"/>
              <w:rPr>
                <w:rFonts w:ascii="Calibri" w:eastAsia="Times New Roman" w:hAnsi="Calibri" w:cs="Calibri"/>
                <w:color w:val="000000"/>
                <w:lang w:val="et-EE" w:eastAsia="et-EE"/>
              </w:rPr>
            </w:pPr>
            <w:hyperlink r:id="rId31" w:history="1">
              <w:r w:rsidR="00F67A92" w:rsidRPr="003D0AF9">
                <w:rPr>
                  <w:rStyle w:val="Hyperlink"/>
                  <w:rFonts w:ascii="Calibri" w:eastAsia="Times New Roman" w:hAnsi="Calibri" w:cs="Calibri"/>
                  <w:lang w:val="et-EE" w:eastAsia="et-EE"/>
                </w:rPr>
                <w:t>https://www.ambergrid.lt/en/services/transmissionnetworkcode</w:t>
              </w:r>
            </w:hyperlink>
          </w:p>
          <w:p w14:paraId="62AA6627" w14:textId="77777777" w:rsidR="00F67A92" w:rsidRDefault="00B06992" w:rsidP="006A7973">
            <w:pPr>
              <w:spacing w:after="0" w:line="240" w:lineRule="auto"/>
              <w:rPr>
                <w:rFonts w:ascii="Calibri" w:eastAsia="Times New Roman" w:hAnsi="Calibri" w:cs="Calibri"/>
                <w:color w:val="000000"/>
                <w:lang w:val="et-EE" w:eastAsia="et-EE"/>
              </w:rPr>
            </w:pPr>
            <w:hyperlink r:id="rId32" w:history="1">
              <w:r w:rsidR="00F67A92" w:rsidRPr="003D0AF9">
                <w:rPr>
                  <w:rStyle w:val="Hyperlink"/>
                  <w:rFonts w:ascii="Calibri" w:eastAsia="Times New Roman" w:hAnsi="Calibri" w:cs="Calibri"/>
                  <w:lang w:val="et-EE" w:eastAsia="et-EE"/>
                </w:rPr>
                <w:t>https://www.ambergrid.lt/en/services/balancing/rules-of-balancing</w:t>
              </w:r>
            </w:hyperlink>
          </w:p>
          <w:p w14:paraId="48F0E136" w14:textId="77777777" w:rsidR="00681F8C" w:rsidRPr="00681F8C" w:rsidRDefault="00681F8C" w:rsidP="006A7973">
            <w:pPr>
              <w:spacing w:after="0" w:line="240" w:lineRule="auto"/>
              <w:rPr>
                <w:rFonts w:ascii="Calibri" w:eastAsia="Times New Roman" w:hAnsi="Calibri" w:cs="Calibri"/>
                <w:color w:val="000000"/>
                <w:lang w:val="et-EE" w:eastAsia="et-EE"/>
              </w:rPr>
            </w:pPr>
          </w:p>
        </w:tc>
      </w:tr>
      <w:tr w:rsidR="00681F8C" w:rsidRPr="00681F8C" w14:paraId="5FE42C82" w14:textId="77777777" w:rsidTr="006A7973">
        <w:trPr>
          <w:gridAfter w:val="1"/>
          <w:wAfter w:w="799" w:type="pct"/>
          <w:trHeight w:val="3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0661BFD4"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(c) (2)</w:t>
            </w:r>
          </w:p>
        </w:tc>
        <w:tc>
          <w:tcPr>
            <w:tcW w:w="724" w:type="pct"/>
            <w:tcBorders>
              <w:top w:val="nil"/>
              <w:left w:val="nil"/>
              <w:bottom w:val="single" w:sz="4" w:space="0" w:color="auto"/>
              <w:right w:val="single" w:sz="4" w:space="0" w:color="auto"/>
            </w:tcBorders>
            <w:shd w:val="clear" w:color="auto" w:fill="auto"/>
            <w:vAlign w:val="center"/>
            <w:hideMark/>
          </w:tcPr>
          <w:p w14:paraId="6F08DAF7"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Specification of relevant gas quality parameters</w:t>
            </w:r>
          </w:p>
        </w:tc>
        <w:tc>
          <w:tcPr>
            <w:tcW w:w="680" w:type="pct"/>
            <w:tcBorders>
              <w:top w:val="nil"/>
              <w:left w:val="nil"/>
              <w:bottom w:val="single" w:sz="4" w:space="0" w:color="auto"/>
              <w:right w:val="single" w:sz="4" w:space="0" w:color="auto"/>
            </w:tcBorders>
            <w:shd w:val="clear" w:color="auto" w:fill="auto"/>
            <w:vAlign w:val="center"/>
            <w:hideMark/>
          </w:tcPr>
          <w:p w14:paraId="3FE5E5EC" w14:textId="77777777" w:rsidR="00681F8C" w:rsidRDefault="00B06992" w:rsidP="006A7973">
            <w:pPr>
              <w:spacing w:after="0" w:line="240" w:lineRule="auto"/>
              <w:rPr>
                <w:rStyle w:val="Hyperlink"/>
                <w:rFonts w:ascii="Calibri" w:eastAsia="Times New Roman" w:hAnsi="Calibri" w:cs="Calibri"/>
                <w:lang w:val="et-EE" w:eastAsia="et-EE"/>
              </w:rPr>
            </w:pPr>
            <w:hyperlink r:id="rId33" w:history="1">
              <w:r w:rsidR="00681F8C" w:rsidRPr="00681F8C">
                <w:rPr>
                  <w:rStyle w:val="Hyperlink"/>
                  <w:rFonts w:ascii="Calibri" w:eastAsia="Times New Roman" w:hAnsi="Calibri" w:cs="Calibri"/>
                  <w:lang w:val="et-EE" w:eastAsia="et-EE"/>
                </w:rPr>
                <w:t>Natural gas quality requirements and control</w:t>
              </w:r>
            </w:hyperlink>
          </w:p>
          <w:p w14:paraId="41C5235A" w14:textId="7B45CD67" w:rsidR="008103DC" w:rsidRPr="00681F8C" w:rsidRDefault="008103DC" w:rsidP="006A7973">
            <w:pPr>
              <w:spacing w:after="0" w:line="240" w:lineRule="auto"/>
              <w:rPr>
                <w:rFonts w:ascii="Calibri" w:eastAsia="Times New Roman" w:hAnsi="Calibri" w:cs="Calibri"/>
                <w:color w:val="000000"/>
                <w:lang w:val="et-EE" w:eastAsia="et-EE"/>
              </w:rPr>
            </w:pPr>
          </w:p>
        </w:tc>
        <w:tc>
          <w:tcPr>
            <w:tcW w:w="862" w:type="pct"/>
            <w:tcBorders>
              <w:top w:val="nil"/>
              <w:left w:val="nil"/>
              <w:bottom w:val="single" w:sz="4" w:space="0" w:color="auto"/>
              <w:right w:val="single" w:sz="4" w:space="0" w:color="auto"/>
            </w:tcBorders>
            <w:shd w:val="clear" w:color="auto" w:fill="auto"/>
            <w:vAlign w:val="center"/>
            <w:hideMark/>
          </w:tcPr>
          <w:p w14:paraId="42EA03A5" w14:textId="3F32A63F" w:rsidR="00681F8C" w:rsidRPr="00681F8C" w:rsidRDefault="00B06992" w:rsidP="006A7973">
            <w:pPr>
              <w:spacing w:after="0" w:line="240" w:lineRule="auto"/>
              <w:rPr>
                <w:rFonts w:ascii="Calibri" w:eastAsia="Times New Roman" w:hAnsi="Calibri" w:cs="Calibri"/>
                <w:color w:val="000000"/>
                <w:lang w:val="et-EE" w:eastAsia="et-EE"/>
              </w:rPr>
            </w:pPr>
            <w:hyperlink r:id="rId34" w:history="1">
              <w:r w:rsidR="00081E07" w:rsidRPr="00081E07">
                <w:rPr>
                  <w:rStyle w:val="Hyperlink"/>
                </w:rPr>
                <w:t>Gas quality parameters.</w:t>
              </w:r>
            </w:hyperlink>
          </w:p>
        </w:tc>
        <w:tc>
          <w:tcPr>
            <w:tcW w:w="907" w:type="pct"/>
            <w:tcBorders>
              <w:top w:val="nil"/>
              <w:left w:val="nil"/>
              <w:bottom w:val="single" w:sz="4" w:space="0" w:color="auto"/>
              <w:right w:val="single" w:sz="4" w:space="0" w:color="auto"/>
            </w:tcBorders>
            <w:shd w:val="clear" w:color="auto" w:fill="auto"/>
            <w:noWrap/>
            <w:vAlign w:val="center"/>
            <w:hideMark/>
          </w:tcPr>
          <w:p w14:paraId="269AA384" w14:textId="2A2E5D9D" w:rsidR="00681F8C" w:rsidRPr="00681F8C" w:rsidRDefault="00B06992" w:rsidP="006A7973">
            <w:pPr>
              <w:spacing w:after="0" w:line="240" w:lineRule="auto"/>
              <w:rPr>
                <w:rFonts w:ascii="Calibri" w:eastAsia="Times New Roman" w:hAnsi="Calibri" w:cs="Calibri"/>
                <w:color w:val="000000"/>
                <w:lang w:val="et-EE" w:eastAsia="et-EE"/>
              </w:rPr>
            </w:pPr>
            <w:hyperlink r:id="rId35" w:history="1">
              <w:r w:rsidR="00CD5AD2" w:rsidRPr="00CD5AD2">
                <w:rPr>
                  <w:rStyle w:val="Hyperlink"/>
                  <w:rFonts w:ascii="Calibri" w:eastAsia="Times New Roman" w:hAnsi="Calibri" w:cs="Calibri"/>
                  <w:lang w:val="et-EE" w:eastAsia="et-EE"/>
                </w:rPr>
                <w:t>Gas quality parameters (Appendix 1 of Rules for gas Transmission)</w:t>
              </w:r>
            </w:hyperlink>
          </w:p>
        </w:tc>
        <w:tc>
          <w:tcPr>
            <w:tcW w:w="800" w:type="pct"/>
            <w:tcBorders>
              <w:top w:val="nil"/>
              <w:left w:val="nil"/>
              <w:bottom w:val="single" w:sz="4" w:space="0" w:color="auto"/>
              <w:right w:val="single" w:sz="4" w:space="0" w:color="auto"/>
            </w:tcBorders>
            <w:shd w:val="clear" w:color="auto" w:fill="auto"/>
            <w:noWrap/>
            <w:vAlign w:val="center"/>
            <w:hideMark/>
          </w:tcPr>
          <w:p w14:paraId="157FB8E0" w14:textId="3198638D" w:rsidR="00681F8C" w:rsidRPr="00681F8C" w:rsidRDefault="00B06992" w:rsidP="006A7973">
            <w:pPr>
              <w:spacing w:after="0" w:line="240" w:lineRule="auto"/>
              <w:rPr>
                <w:rFonts w:ascii="Calibri" w:eastAsia="Times New Roman" w:hAnsi="Calibri" w:cs="Calibri"/>
                <w:color w:val="000000"/>
                <w:lang w:val="et-EE" w:eastAsia="et-EE"/>
              </w:rPr>
            </w:pPr>
            <w:hyperlink r:id="rId36" w:history="1">
              <w:r w:rsidR="00F67A92" w:rsidRPr="003D0AF9">
                <w:rPr>
                  <w:rStyle w:val="Hyperlink"/>
                  <w:rFonts w:ascii="Calibri" w:eastAsia="Times New Roman" w:hAnsi="Calibri" w:cs="Calibri"/>
                  <w:lang w:val="et-EE" w:eastAsia="et-EE"/>
                </w:rPr>
                <w:t>https://www.ambergrid.lt/en/services/gas-calendar</w:t>
              </w:r>
            </w:hyperlink>
          </w:p>
        </w:tc>
      </w:tr>
      <w:tr w:rsidR="00681F8C" w:rsidRPr="00681F8C" w14:paraId="3B59FE38"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4F8C6DD6"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lastRenderedPageBreak/>
              <w:t>3.1.2 (c) (3)</w:t>
            </w:r>
          </w:p>
        </w:tc>
        <w:tc>
          <w:tcPr>
            <w:tcW w:w="724" w:type="pct"/>
            <w:tcBorders>
              <w:top w:val="nil"/>
              <w:left w:val="nil"/>
              <w:bottom w:val="single" w:sz="4" w:space="0" w:color="auto"/>
              <w:right w:val="single" w:sz="4" w:space="0" w:color="auto"/>
            </w:tcBorders>
            <w:shd w:val="clear" w:color="auto" w:fill="auto"/>
            <w:vAlign w:val="center"/>
            <w:hideMark/>
          </w:tcPr>
          <w:p w14:paraId="595E992F"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Information on pressure requirements</w:t>
            </w:r>
          </w:p>
        </w:tc>
        <w:tc>
          <w:tcPr>
            <w:tcW w:w="680" w:type="pct"/>
            <w:tcBorders>
              <w:top w:val="nil"/>
              <w:left w:val="nil"/>
              <w:bottom w:val="single" w:sz="4" w:space="0" w:color="auto"/>
              <w:right w:val="single" w:sz="4" w:space="0" w:color="auto"/>
            </w:tcBorders>
            <w:shd w:val="clear" w:color="auto" w:fill="auto"/>
            <w:vAlign w:val="center"/>
            <w:hideMark/>
          </w:tcPr>
          <w:p w14:paraId="1D27963D" w14:textId="77777777" w:rsidR="00681F8C" w:rsidRPr="00681F8C" w:rsidRDefault="00B06992" w:rsidP="006A7973">
            <w:pPr>
              <w:spacing w:after="0" w:line="240" w:lineRule="auto"/>
              <w:rPr>
                <w:rFonts w:ascii="Calibri" w:eastAsia="Times New Roman" w:hAnsi="Calibri" w:cs="Calibri"/>
                <w:color w:val="000000"/>
                <w:lang w:val="et-EE" w:eastAsia="et-EE"/>
              </w:rPr>
            </w:pPr>
            <w:hyperlink r:id="rId37" w:history="1">
              <w:r w:rsidR="00681F8C" w:rsidRPr="00681F8C">
                <w:rPr>
                  <w:rStyle w:val="Hyperlink"/>
                  <w:rFonts w:ascii="Calibri" w:eastAsia="Times New Roman" w:hAnsi="Calibri" w:cs="Calibri"/>
                  <w:lang w:val="et-EE" w:eastAsia="et-EE"/>
                </w:rPr>
                <w:t>Minimum and maximum technically feasible pressure of gas transmission pipelines</w:t>
              </w:r>
            </w:hyperlink>
          </w:p>
        </w:tc>
        <w:tc>
          <w:tcPr>
            <w:tcW w:w="862" w:type="pct"/>
            <w:tcBorders>
              <w:top w:val="nil"/>
              <w:left w:val="nil"/>
              <w:bottom w:val="single" w:sz="4" w:space="0" w:color="auto"/>
              <w:right w:val="single" w:sz="4" w:space="0" w:color="auto"/>
            </w:tcBorders>
            <w:shd w:val="clear" w:color="auto" w:fill="auto"/>
            <w:vAlign w:val="center"/>
            <w:hideMark/>
          </w:tcPr>
          <w:p w14:paraId="12BB66CC" w14:textId="152091E9" w:rsidR="00681F8C" w:rsidRPr="00681F8C" w:rsidRDefault="00B06992" w:rsidP="006A7973">
            <w:pPr>
              <w:spacing w:after="0" w:line="240" w:lineRule="auto"/>
              <w:rPr>
                <w:rFonts w:ascii="Calibri" w:eastAsia="Times New Roman" w:hAnsi="Calibri" w:cs="Calibri"/>
                <w:color w:val="000000"/>
                <w:lang w:val="et-EE" w:eastAsia="et-EE"/>
              </w:rPr>
            </w:pPr>
            <w:hyperlink r:id="rId38" w:history="1">
              <w:r w:rsidR="00081E07" w:rsidRPr="00081E07">
                <w:rPr>
                  <w:rStyle w:val="Hyperlink"/>
                </w:rPr>
                <w:t>Grid connection rules</w:t>
              </w:r>
            </w:hyperlink>
          </w:p>
        </w:tc>
        <w:tc>
          <w:tcPr>
            <w:tcW w:w="907" w:type="pct"/>
            <w:tcBorders>
              <w:top w:val="nil"/>
              <w:left w:val="nil"/>
              <w:bottom w:val="single" w:sz="4" w:space="0" w:color="auto"/>
              <w:right w:val="single" w:sz="4" w:space="0" w:color="auto"/>
            </w:tcBorders>
            <w:shd w:val="clear" w:color="auto" w:fill="auto"/>
            <w:noWrap/>
            <w:vAlign w:val="center"/>
            <w:hideMark/>
          </w:tcPr>
          <w:p w14:paraId="3A636246" w14:textId="0EA47FF6" w:rsidR="00681F8C" w:rsidRPr="00681F8C" w:rsidRDefault="00B06992" w:rsidP="006A7973">
            <w:pPr>
              <w:spacing w:after="0" w:line="240" w:lineRule="auto"/>
              <w:rPr>
                <w:rFonts w:ascii="Calibri" w:eastAsia="Times New Roman" w:hAnsi="Calibri" w:cs="Calibri"/>
                <w:color w:val="000000"/>
                <w:lang w:val="et-EE" w:eastAsia="et-EE"/>
              </w:rPr>
            </w:pPr>
            <w:hyperlink r:id="rId39" w:history="1">
              <w:r w:rsidR="00073E11" w:rsidRPr="00073E11">
                <w:rPr>
                  <w:rStyle w:val="Hyperlink"/>
                  <w:rFonts w:ascii="Calibri" w:eastAsia="Times New Roman" w:hAnsi="Calibri" w:cs="Calibri"/>
                  <w:lang w:val="et-EE" w:eastAsia="et-EE"/>
                </w:rPr>
                <w:t>Finnish gas transmission network</w:t>
              </w:r>
            </w:hyperlink>
          </w:p>
        </w:tc>
        <w:tc>
          <w:tcPr>
            <w:tcW w:w="800" w:type="pct"/>
            <w:tcBorders>
              <w:top w:val="nil"/>
              <w:left w:val="nil"/>
              <w:bottom w:val="single" w:sz="4" w:space="0" w:color="auto"/>
              <w:right w:val="single" w:sz="4" w:space="0" w:color="auto"/>
            </w:tcBorders>
            <w:shd w:val="clear" w:color="auto" w:fill="auto"/>
            <w:noWrap/>
            <w:vAlign w:val="center"/>
            <w:hideMark/>
          </w:tcPr>
          <w:p w14:paraId="11BDD9D2" w14:textId="6A72A144" w:rsidR="00681F8C" w:rsidRPr="00681F8C" w:rsidRDefault="00B06992" w:rsidP="006A7973">
            <w:pPr>
              <w:spacing w:after="0" w:line="240" w:lineRule="auto"/>
              <w:rPr>
                <w:rFonts w:ascii="Calibri" w:eastAsia="Times New Roman" w:hAnsi="Calibri" w:cs="Calibri"/>
                <w:color w:val="000000"/>
                <w:lang w:val="et-EE" w:eastAsia="et-EE"/>
              </w:rPr>
            </w:pPr>
            <w:hyperlink r:id="rId40" w:history="1">
              <w:r w:rsidR="005E16D9" w:rsidRPr="003D0AF9">
                <w:rPr>
                  <w:rStyle w:val="Hyperlink"/>
                  <w:rFonts w:ascii="Calibri" w:eastAsia="Times New Roman" w:hAnsi="Calibri" w:cs="Calibri"/>
                  <w:lang w:val="et-EE" w:eastAsia="et-EE"/>
                </w:rPr>
                <w:t>https://www.ambergrid.lt/en/transmission-system/gas-transmission-system-in-Lithuania</w:t>
              </w:r>
            </w:hyperlink>
          </w:p>
        </w:tc>
      </w:tr>
      <w:tr w:rsidR="00681F8C" w:rsidRPr="00681F8C" w14:paraId="4C79C219"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067A7547"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(c) (4)</w:t>
            </w:r>
          </w:p>
        </w:tc>
        <w:tc>
          <w:tcPr>
            <w:tcW w:w="724" w:type="pct"/>
            <w:tcBorders>
              <w:top w:val="nil"/>
              <w:left w:val="nil"/>
              <w:bottom w:val="single" w:sz="4" w:space="0" w:color="auto"/>
              <w:right w:val="single" w:sz="4" w:space="0" w:color="auto"/>
            </w:tcBorders>
            <w:shd w:val="clear" w:color="auto" w:fill="auto"/>
            <w:vAlign w:val="center"/>
            <w:hideMark/>
          </w:tcPr>
          <w:p w14:paraId="22F1CA7C"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Procedure in the event of an interruption of interruptible capacity</w:t>
            </w:r>
          </w:p>
        </w:tc>
        <w:tc>
          <w:tcPr>
            <w:tcW w:w="680" w:type="pct"/>
            <w:tcBorders>
              <w:top w:val="nil"/>
              <w:left w:val="nil"/>
              <w:bottom w:val="single" w:sz="4" w:space="0" w:color="auto"/>
              <w:right w:val="single" w:sz="4" w:space="0" w:color="auto"/>
            </w:tcBorders>
            <w:shd w:val="clear" w:color="auto" w:fill="auto"/>
            <w:vAlign w:val="center"/>
            <w:hideMark/>
          </w:tcPr>
          <w:p w14:paraId="30F1B889" w14:textId="3D64A9D1" w:rsidR="00681F8C" w:rsidRPr="00681F8C" w:rsidRDefault="00B06992" w:rsidP="006A7973">
            <w:pPr>
              <w:spacing w:after="0" w:line="240" w:lineRule="auto"/>
              <w:rPr>
                <w:rFonts w:ascii="Calibri" w:eastAsia="Times New Roman" w:hAnsi="Calibri" w:cs="Calibri"/>
                <w:lang w:val="et-EE" w:eastAsia="et-EE"/>
              </w:rPr>
            </w:pPr>
            <w:hyperlink r:id="rId41" w:history="1">
              <w:r w:rsidR="00681F8C" w:rsidRPr="00681F8C">
                <w:rPr>
                  <w:rStyle w:val="Hyperlink"/>
                  <w:rFonts w:ascii="Calibri" w:eastAsia="Times New Roman" w:hAnsi="Calibri" w:cs="Calibri"/>
                  <w:lang w:val="et-EE" w:eastAsia="et-EE"/>
                </w:rPr>
                <w:t>Defined in point (4.7.6) of Transmission Regulation - Special conditions for interruptible capacity</w:t>
              </w:r>
            </w:hyperlink>
          </w:p>
        </w:tc>
        <w:tc>
          <w:tcPr>
            <w:tcW w:w="862" w:type="pct"/>
            <w:tcBorders>
              <w:top w:val="nil"/>
              <w:left w:val="nil"/>
              <w:bottom w:val="single" w:sz="4" w:space="0" w:color="auto"/>
              <w:right w:val="single" w:sz="4" w:space="0" w:color="auto"/>
            </w:tcBorders>
            <w:shd w:val="clear" w:color="auto" w:fill="auto"/>
            <w:vAlign w:val="center"/>
            <w:hideMark/>
          </w:tcPr>
          <w:p w14:paraId="612E6204" w14:textId="6CACEDB8" w:rsidR="00681F8C" w:rsidRPr="00E00F89" w:rsidRDefault="00B06992" w:rsidP="006A7973">
            <w:pPr>
              <w:spacing w:after="0" w:line="240" w:lineRule="auto"/>
              <w:rPr>
                <w:rFonts w:ascii="Calibri" w:eastAsia="Times New Roman" w:hAnsi="Calibri" w:cs="Calibri"/>
                <w:color w:val="000000"/>
                <w:lang w:val="et-EE" w:eastAsia="et-EE"/>
              </w:rPr>
            </w:pPr>
            <w:hyperlink r:id="rId42" w:anchor="tab1" w:history="1">
              <w:r w:rsidR="00E00F89" w:rsidRPr="00081E07">
                <w:rPr>
                  <w:rStyle w:val="Hyperlink"/>
                  <w:rFonts w:ascii="Calibri" w:eastAsia="Times New Roman" w:hAnsi="Calibri" w:cs="Calibri"/>
                  <w:lang w:val="et-EE" w:eastAsia="et-EE"/>
                </w:rPr>
                <w:t>Defined in point 4.7.6</w:t>
              </w:r>
              <w:r w:rsidR="00081E07" w:rsidRPr="00081E07">
                <w:rPr>
                  <w:rStyle w:val="Hyperlink"/>
                  <w:rFonts w:ascii="Calibri" w:eastAsia="Times New Roman" w:hAnsi="Calibri" w:cs="Calibri"/>
                  <w:lang w:val="et-EE" w:eastAsia="et-EE"/>
                </w:rPr>
                <w:t xml:space="preserve"> of network rules</w:t>
              </w:r>
            </w:hyperlink>
          </w:p>
          <w:p w14:paraId="4441302B" w14:textId="08027425" w:rsidR="00E00F89" w:rsidRPr="00681F8C" w:rsidRDefault="00E00F89" w:rsidP="006A7973">
            <w:pPr>
              <w:spacing w:after="0" w:line="240" w:lineRule="auto"/>
              <w:rPr>
                <w:rFonts w:ascii="Calibri" w:eastAsia="Times New Roman" w:hAnsi="Calibri" w:cs="Calibri"/>
                <w:color w:val="0563C1"/>
                <w:u w:val="single"/>
                <w:lang w:val="et-EE" w:eastAsia="et-EE"/>
              </w:rPr>
            </w:pPr>
          </w:p>
        </w:tc>
        <w:tc>
          <w:tcPr>
            <w:tcW w:w="907" w:type="pct"/>
            <w:tcBorders>
              <w:top w:val="nil"/>
              <w:left w:val="nil"/>
              <w:bottom w:val="single" w:sz="4" w:space="0" w:color="auto"/>
              <w:right w:val="single" w:sz="4" w:space="0" w:color="auto"/>
            </w:tcBorders>
            <w:shd w:val="clear" w:color="auto" w:fill="auto"/>
            <w:noWrap/>
            <w:vAlign w:val="center"/>
            <w:hideMark/>
          </w:tcPr>
          <w:p w14:paraId="13E1B7A4" w14:textId="54D75EC0" w:rsidR="00681F8C" w:rsidRPr="00681F8C" w:rsidRDefault="00B06992" w:rsidP="006A7973">
            <w:pPr>
              <w:spacing w:after="0" w:line="240" w:lineRule="auto"/>
              <w:rPr>
                <w:rFonts w:ascii="Calibri" w:eastAsia="Times New Roman" w:hAnsi="Calibri" w:cs="Calibri"/>
                <w:color w:val="000000"/>
                <w:lang w:val="et-EE" w:eastAsia="et-EE"/>
              </w:rPr>
            </w:pPr>
            <w:hyperlink r:id="rId43" w:history="1">
              <w:r w:rsidR="00073E11" w:rsidRPr="00073E11">
                <w:rPr>
                  <w:rStyle w:val="Hyperlink"/>
                  <w:rFonts w:ascii="Calibri" w:eastAsia="Times New Roman" w:hAnsi="Calibri" w:cs="Calibri"/>
                  <w:lang w:val="et-EE" w:eastAsia="et-EE"/>
                </w:rPr>
                <w:t>Chapter 7.5.2 of Rules for gas Transmission</w:t>
              </w:r>
            </w:hyperlink>
            <w:r w:rsidR="00073E11">
              <w:rPr>
                <w:rFonts w:ascii="Calibri" w:eastAsia="Times New Roman" w:hAnsi="Calibri" w:cs="Calibri"/>
                <w:color w:val="000000"/>
                <w:lang w:val="et-EE" w:eastAsia="et-EE"/>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14:paraId="710F7583" w14:textId="77777777" w:rsidR="005E16D9" w:rsidRDefault="00B06992" w:rsidP="006A7973">
            <w:pPr>
              <w:spacing w:after="0" w:line="240" w:lineRule="auto"/>
              <w:rPr>
                <w:rFonts w:ascii="Calibri" w:eastAsia="Times New Roman" w:hAnsi="Calibri" w:cs="Calibri"/>
                <w:color w:val="000000"/>
                <w:lang w:val="et-EE" w:eastAsia="et-EE"/>
              </w:rPr>
            </w:pPr>
            <w:hyperlink r:id="rId44" w:history="1">
              <w:r w:rsidR="005E16D9" w:rsidRPr="003D0AF9">
                <w:rPr>
                  <w:rStyle w:val="Hyperlink"/>
                  <w:rFonts w:ascii="Calibri" w:eastAsia="Times New Roman" w:hAnsi="Calibri" w:cs="Calibri"/>
                  <w:lang w:val="et-EE" w:eastAsia="et-EE"/>
                </w:rPr>
                <w:t>https://www.ambergrid.lt/en/services/transmissionnetworkcode</w:t>
              </w:r>
            </w:hyperlink>
          </w:p>
          <w:p w14:paraId="554ED622" w14:textId="77777777" w:rsidR="00681F8C" w:rsidRPr="00681F8C" w:rsidRDefault="00681F8C" w:rsidP="006A7973">
            <w:pPr>
              <w:spacing w:after="0" w:line="240" w:lineRule="auto"/>
              <w:rPr>
                <w:rFonts w:ascii="Calibri" w:eastAsia="Times New Roman" w:hAnsi="Calibri" w:cs="Calibri"/>
                <w:color w:val="000000"/>
                <w:lang w:val="et-EE" w:eastAsia="et-EE"/>
              </w:rPr>
            </w:pPr>
          </w:p>
        </w:tc>
      </w:tr>
      <w:tr w:rsidR="00681F8C" w:rsidRPr="00681F8C" w14:paraId="0EFCE4B4"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76181A90"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(d)</w:t>
            </w:r>
          </w:p>
        </w:tc>
        <w:tc>
          <w:tcPr>
            <w:tcW w:w="724" w:type="pct"/>
            <w:tcBorders>
              <w:top w:val="nil"/>
              <w:left w:val="nil"/>
              <w:bottom w:val="single" w:sz="4" w:space="0" w:color="auto"/>
              <w:right w:val="single" w:sz="4" w:space="0" w:color="auto"/>
            </w:tcBorders>
            <w:shd w:val="clear" w:color="auto" w:fill="auto"/>
            <w:vAlign w:val="center"/>
            <w:hideMark/>
          </w:tcPr>
          <w:p w14:paraId="15BFEC38" w14:textId="77777777" w:rsidR="00681F8C" w:rsidRPr="00681F8C" w:rsidRDefault="00681F8C" w:rsidP="006A7973">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Harmonized procedures applied when using the transmission system, including the definition of key terms</w:t>
            </w:r>
          </w:p>
        </w:tc>
        <w:tc>
          <w:tcPr>
            <w:tcW w:w="680" w:type="pct"/>
            <w:tcBorders>
              <w:top w:val="nil"/>
              <w:left w:val="nil"/>
              <w:bottom w:val="single" w:sz="4" w:space="0" w:color="auto"/>
              <w:right w:val="single" w:sz="4" w:space="0" w:color="auto"/>
            </w:tcBorders>
            <w:shd w:val="clear" w:color="auto" w:fill="auto"/>
            <w:vAlign w:val="center"/>
            <w:hideMark/>
          </w:tcPr>
          <w:p w14:paraId="7ED5D504" w14:textId="398F8B02" w:rsidR="00681F8C" w:rsidRPr="00681F8C" w:rsidRDefault="00B06992" w:rsidP="006A7973">
            <w:pPr>
              <w:spacing w:after="0" w:line="240" w:lineRule="auto"/>
              <w:rPr>
                <w:rFonts w:ascii="Calibri" w:eastAsia="Times New Roman" w:hAnsi="Calibri" w:cs="Calibri"/>
                <w:color w:val="000000"/>
                <w:lang w:val="et-EE" w:eastAsia="et-EE"/>
              </w:rPr>
            </w:pPr>
            <w:hyperlink r:id="rId45" w:history="1">
              <w:r w:rsidR="00681F8C" w:rsidRPr="00681F8C">
                <w:rPr>
                  <w:rStyle w:val="Hyperlink"/>
                  <w:rFonts w:ascii="Calibri" w:eastAsia="Times New Roman" w:hAnsi="Calibri" w:cs="Calibri"/>
                  <w:lang w:val="et-EE" w:eastAsia="et-EE"/>
                </w:rPr>
                <w:t>Transmission Regulation</w:t>
              </w:r>
            </w:hyperlink>
          </w:p>
        </w:tc>
        <w:tc>
          <w:tcPr>
            <w:tcW w:w="862" w:type="pct"/>
            <w:tcBorders>
              <w:top w:val="nil"/>
              <w:left w:val="nil"/>
              <w:bottom w:val="single" w:sz="4" w:space="0" w:color="auto"/>
              <w:right w:val="single" w:sz="4" w:space="0" w:color="auto"/>
            </w:tcBorders>
            <w:shd w:val="clear" w:color="auto" w:fill="auto"/>
            <w:vAlign w:val="center"/>
            <w:hideMark/>
          </w:tcPr>
          <w:p w14:paraId="4F630548" w14:textId="1D8A5503" w:rsidR="00081E07" w:rsidRPr="00D7353E" w:rsidRDefault="00D7353E" w:rsidP="006A7973">
            <w:pPr>
              <w:spacing w:after="0" w:line="240" w:lineRule="auto"/>
              <w:rPr>
                <w:rStyle w:val="Hyperlink"/>
                <w:rFonts w:ascii="Calibri" w:eastAsia="Times New Roman" w:hAnsi="Calibri" w:cs="Calibri"/>
                <w:lang w:val="et-EE" w:eastAsia="et-EE"/>
              </w:rPr>
            </w:pPr>
            <w:r>
              <w:rPr>
                <w:rFonts w:ascii="Calibri" w:eastAsia="Times New Roman" w:hAnsi="Calibri" w:cs="Calibri"/>
                <w:color w:val="000000"/>
                <w:lang w:val="et-EE" w:eastAsia="et-EE"/>
              </w:rPr>
              <w:fldChar w:fldCharType="begin"/>
            </w:r>
            <w:r>
              <w:rPr>
                <w:rFonts w:ascii="Calibri" w:eastAsia="Times New Roman" w:hAnsi="Calibri" w:cs="Calibri"/>
                <w:color w:val="000000"/>
                <w:lang w:val="et-EE" w:eastAsia="et-EE"/>
              </w:rPr>
              <w:instrText xml:space="preserve"> HYPERLINK "https://elering.ee/en/network-service" \l "tab1" </w:instrText>
            </w:r>
            <w:r>
              <w:rPr>
                <w:rFonts w:ascii="Calibri" w:eastAsia="Times New Roman" w:hAnsi="Calibri" w:cs="Calibri"/>
                <w:color w:val="000000"/>
                <w:lang w:val="et-EE" w:eastAsia="et-EE"/>
              </w:rPr>
              <w:fldChar w:fldCharType="separate"/>
            </w:r>
            <w:r w:rsidR="00081E07" w:rsidRPr="00D7353E">
              <w:rPr>
                <w:rStyle w:val="Hyperlink"/>
                <w:rFonts w:ascii="Calibri" w:eastAsia="Times New Roman" w:hAnsi="Calibri" w:cs="Calibri"/>
                <w:lang w:val="et-EE" w:eastAsia="et-EE"/>
              </w:rPr>
              <w:t>T</w:t>
            </w:r>
            <w:proofErr w:type="spellStart"/>
            <w:r w:rsidR="00081E07" w:rsidRPr="00D7353E">
              <w:rPr>
                <w:rStyle w:val="Hyperlink"/>
              </w:rPr>
              <w:t>ransmission</w:t>
            </w:r>
            <w:proofErr w:type="spellEnd"/>
            <w:r w:rsidR="00081E07" w:rsidRPr="00D7353E">
              <w:rPr>
                <w:rStyle w:val="Hyperlink"/>
                <w:rFonts w:ascii="Calibri" w:eastAsia="Times New Roman" w:hAnsi="Calibri" w:cs="Calibri"/>
                <w:lang w:val="et-EE" w:eastAsia="et-EE"/>
              </w:rPr>
              <w:t xml:space="preserve"> rules.</w:t>
            </w:r>
          </w:p>
          <w:p w14:paraId="6C59EEE4" w14:textId="49DEBA19" w:rsidR="00681F8C" w:rsidRPr="00681F8C" w:rsidRDefault="00D7353E" w:rsidP="006A7973">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fldChar w:fldCharType="end"/>
            </w:r>
          </w:p>
        </w:tc>
        <w:tc>
          <w:tcPr>
            <w:tcW w:w="907" w:type="pct"/>
            <w:tcBorders>
              <w:top w:val="nil"/>
              <w:left w:val="nil"/>
              <w:bottom w:val="single" w:sz="4" w:space="0" w:color="auto"/>
              <w:right w:val="single" w:sz="4" w:space="0" w:color="auto"/>
            </w:tcBorders>
            <w:shd w:val="clear" w:color="auto" w:fill="auto"/>
            <w:noWrap/>
            <w:vAlign w:val="center"/>
            <w:hideMark/>
          </w:tcPr>
          <w:p w14:paraId="512E8528" w14:textId="1B57A3F6" w:rsidR="00681F8C" w:rsidRPr="00681F8C" w:rsidRDefault="00B06992" w:rsidP="006A7973">
            <w:pPr>
              <w:spacing w:after="0" w:line="240" w:lineRule="auto"/>
              <w:rPr>
                <w:rFonts w:ascii="Calibri" w:eastAsia="Times New Roman" w:hAnsi="Calibri" w:cs="Calibri"/>
                <w:color w:val="000000"/>
                <w:lang w:val="et-EE" w:eastAsia="et-EE"/>
              </w:rPr>
            </w:pPr>
            <w:hyperlink r:id="rId46" w:history="1">
              <w:r w:rsidR="00073E11" w:rsidRPr="009D561B">
                <w:rPr>
                  <w:rStyle w:val="Hyperlink"/>
                  <w:rFonts w:ascii="Calibri" w:eastAsia="Times New Roman" w:hAnsi="Calibri" w:cs="Calibri"/>
                  <w:lang w:val="et-EE" w:eastAsia="et-EE"/>
                </w:rPr>
                <w:t>Rules for gas Transmission</w:t>
              </w:r>
            </w:hyperlink>
          </w:p>
        </w:tc>
        <w:tc>
          <w:tcPr>
            <w:tcW w:w="800" w:type="pct"/>
            <w:tcBorders>
              <w:top w:val="nil"/>
              <w:left w:val="nil"/>
              <w:bottom w:val="single" w:sz="4" w:space="0" w:color="auto"/>
              <w:right w:val="single" w:sz="4" w:space="0" w:color="auto"/>
            </w:tcBorders>
            <w:shd w:val="clear" w:color="auto" w:fill="auto"/>
            <w:noWrap/>
            <w:vAlign w:val="center"/>
            <w:hideMark/>
          </w:tcPr>
          <w:p w14:paraId="791C1D78" w14:textId="77777777" w:rsidR="005E16D9" w:rsidRDefault="00B06992" w:rsidP="006A7973">
            <w:pPr>
              <w:spacing w:after="0" w:line="240" w:lineRule="auto"/>
              <w:rPr>
                <w:rFonts w:ascii="Calibri" w:eastAsia="Times New Roman" w:hAnsi="Calibri" w:cs="Calibri"/>
                <w:color w:val="000000"/>
                <w:lang w:val="et-EE" w:eastAsia="et-EE"/>
              </w:rPr>
            </w:pPr>
            <w:hyperlink r:id="rId47" w:history="1">
              <w:r w:rsidR="005E16D9" w:rsidRPr="003D0AF9">
                <w:rPr>
                  <w:rStyle w:val="Hyperlink"/>
                  <w:rFonts w:ascii="Calibri" w:eastAsia="Times New Roman" w:hAnsi="Calibri" w:cs="Calibri"/>
                  <w:lang w:val="et-EE" w:eastAsia="et-EE"/>
                </w:rPr>
                <w:t>https://www.ambergrid.lt/en/services/transmissionnetworkcode</w:t>
              </w:r>
            </w:hyperlink>
          </w:p>
          <w:p w14:paraId="00B731C4" w14:textId="77777777" w:rsidR="00681F8C" w:rsidRPr="00681F8C" w:rsidRDefault="00681F8C" w:rsidP="006A7973">
            <w:pPr>
              <w:spacing w:after="0" w:line="240" w:lineRule="auto"/>
              <w:rPr>
                <w:rFonts w:ascii="Calibri" w:eastAsia="Times New Roman" w:hAnsi="Calibri" w:cs="Calibri"/>
                <w:color w:val="000000"/>
                <w:lang w:val="et-EE" w:eastAsia="et-EE"/>
              </w:rPr>
            </w:pPr>
          </w:p>
        </w:tc>
      </w:tr>
      <w:tr w:rsidR="009D561B" w:rsidRPr="00681F8C" w14:paraId="261310F9"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6DE7F39"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(e)</w:t>
            </w:r>
          </w:p>
        </w:tc>
        <w:tc>
          <w:tcPr>
            <w:tcW w:w="724" w:type="pct"/>
            <w:tcBorders>
              <w:top w:val="nil"/>
              <w:left w:val="nil"/>
              <w:bottom w:val="single" w:sz="4" w:space="0" w:color="auto"/>
              <w:right w:val="single" w:sz="4" w:space="0" w:color="auto"/>
            </w:tcBorders>
            <w:shd w:val="clear" w:color="auto" w:fill="auto"/>
            <w:vAlign w:val="center"/>
            <w:hideMark/>
          </w:tcPr>
          <w:p w14:paraId="70C364AA"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Provisions on capacity allocation, congestion management and anti-hoarding and reutilisation procedures</w:t>
            </w:r>
          </w:p>
        </w:tc>
        <w:tc>
          <w:tcPr>
            <w:tcW w:w="680" w:type="pct"/>
            <w:tcBorders>
              <w:top w:val="nil"/>
              <w:left w:val="nil"/>
              <w:bottom w:val="single" w:sz="4" w:space="0" w:color="auto"/>
              <w:right w:val="single" w:sz="4" w:space="0" w:color="auto"/>
            </w:tcBorders>
            <w:shd w:val="clear" w:color="auto" w:fill="auto"/>
            <w:vAlign w:val="center"/>
            <w:hideMark/>
          </w:tcPr>
          <w:p w14:paraId="12F9C3BC" w14:textId="035985C0" w:rsidR="009D561B" w:rsidRPr="00681F8C" w:rsidRDefault="00B06992" w:rsidP="009D561B">
            <w:pPr>
              <w:spacing w:after="0" w:line="240" w:lineRule="auto"/>
              <w:rPr>
                <w:rFonts w:ascii="Calibri" w:eastAsia="Times New Roman" w:hAnsi="Calibri" w:cs="Calibri"/>
                <w:color w:val="000000"/>
                <w:lang w:val="et-EE" w:eastAsia="et-EE"/>
              </w:rPr>
            </w:pPr>
            <w:hyperlink r:id="rId48" w:history="1">
              <w:r w:rsidR="009D561B" w:rsidRPr="00681F8C">
                <w:rPr>
                  <w:rStyle w:val="Hyperlink"/>
                  <w:rFonts w:ascii="Calibri" w:eastAsia="Times New Roman" w:hAnsi="Calibri" w:cs="Calibri"/>
                  <w:lang w:val="et-EE" w:eastAsia="et-EE"/>
                </w:rPr>
                <w:t>Defined in point (4) of Transmission Regulation - Capacity allocation</w:t>
              </w:r>
            </w:hyperlink>
          </w:p>
        </w:tc>
        <w:tc>
          <w:tcPr>
            <w:tcW w:w="862" w:type="pct"/>
            <w:tcBorders>
              <w:top w:val="nil"/>
              <w:left w:val="nil"/>
              <w:bottom w:val="single" w:sz="4" w:space="0" w:color="auto"/>
              <w:right w:val="single" w:sz="4" w:space="0" w:color="auto"/>
            </w:tcBorders>
            <w:shd w:val="clear" w:color="auto" w:fill="auto"/>
            <w:vAlign w:val="center"/>
            <w:hideMark/>
          </w:tcPr>
          <w:p w14:paraId="12D6C9CF" w14:textId="28F98390" w:rsidR="009D561B" w:rsidRPr="00681F8C" w:rsidRDefault="00B06992" w:rsidP="009D561B">
            <w:pPr>
              <w:spacing w:after="0" w:line="240" w:lineRule="auto"/>
              <w:rPr>
                <w:rFonts w:ascii="Calibri" w:eastAsia="Times New Roman" w:hAnsi="Calibri" w:cs="Calibri"/>
                <w:color w:val="0563C1"/>
                <w:u w:val="single"/>
                <w:lang w:val="et-EE" w:eastAsia="et-EE"/>
              </w:rPr>
            </w:pPr>
            <w:hyperlink r:id="rId49" w:history="1">
              <w:r w:rsidR="009D561B" w:rsidRPr="00681F8C">
                <w:rPr>
                  <w:rStyle w:val="Hyperlink"/>
                  <w:rFonts w:ascii="Calibri" w:eastAsia="Times New Roman" w:hAnsi="Calibri" w:cs="Calibri"/>
                  <w:lang w:val="et-EE" w:eastAsia="et-EE"/>
                </w:rPr>
                <w:t>Defined in point (4) of Transmission Regulation - Capacity allocation</w:t>
              </w:r>
            </w:hyperlink>
          </w:p>
        </w:tc>
        <w:tc>
          <w:tcPr>
            <w:tcW w:w="907" w:type="pct"/>
            <w:tcBorders>
              <w:top w:val="nil"/>
              <w:left w:val="nil"/>
              <w:bottom w:val="single" w:sz="4" w:space="0" w:color="auto"/>
              <w:right w:val="single" w:sz="4" w:space="0" w:color="auto"/>
            </w:tcBorders>
            <w:shd w:val="clear" w:color="auto" w:fill="auto"/>
            <w:noWrap/>
            <w:vAlign w:val="center"/>
            <w:hideMark/>
          </w:tcPr>
          <w:p w14:paraId="5508BAC0" w14:textId="65F2A9B7" w:rsidR="009D561B" w:rsidRPr="009D561B" w:rsidRDefault="00B06992" w:rsidP="009D561B">
            <w:pPr>
              <w:spacing w:after="0" w:line="240" w:lineRule="auto"/>
              <w:rPr>
                <w:rFonts w:ascii="Calibri" w:eastAsia="Times New Roman" w:hAnsi="Calibri" w:cs="Calibri"/>
                <w:color w:val="000000"/>
                <w:lang w:val="et-EE" w:eastAsia="et-EE"/>
              </w:rPr>
            </w:pPr>
            <w:hyperlink r:id="rId50" w:history="1">
              <w:r w:rsidR="009D561B" w:rsidRPr="009D561B">
                <w:rPr>
                  <w:rStyle w:val="Hyperlink"/>
                  <w:rFonts w:ascii="Calibri" w:eastAsia="Times New Roman" w:hAnsi="Calibri" w:cs="Calibri"/>
                  <w:lang w:val="et-EE" w:eastAsia="et-EE"/>
                </w:rPr>
                <w:t>Rules for gas Transmission (chapters 5.4.-5.6.)</w:t>
              </w:r>
            </w:hyperlink>
          </w:p>
        </w:tc>
        <w:tc>
          <w:tcPr>
            <w:tcW w:w="800" w:type="pct"/>
            <w:tcBorders>
              <w:top w:val="nil"/>
              <w:left w:val="nil"/>
              <w:bottom w:val="single" w:sz="4" w:space="0" w:color="auto"/>
              <w:right w:val="single" w:sz="4" w:space="0" w:color="auto"/>
            </w:tcBorders>
            <w:shd w:val="clear" w:color="auto" w:fill="auto"/>
            <w:noWrap/>
            <w:vAlign w:val="center"/>
            <w:hideMark/>
          </w:tcPr>
          <w:p w14:paraId="46A3809A" w14:textId="77777777" w:rsidR="009D561B" w:rsidRDefault="00B06992" w:rsidP="009D561B">
            <w:pPr>
              <w:spacing w:after="0" w:line="240" w:lineRule="auto"/>
              <w:rPr>
                <w:rFonts w:ascii="Calibri" w:eastAsia="Times New Roman" w:hAnsi="Calibri" w:cs="Calibri"/>
                <w:color w:val="000000"/>
                <w:lang w:val="et-EE" w:eastAsia="et-EE"/>
              </w:rPr>
            </w:pPr>
            <w:hyperlink r:id="rId51" w:history="1">
              <w:r w:rsidR="009D561B" w:rsidRPr="003D0AF9">
                <w:rPr>
                  <w:rStyle w:val="Hyperlink"/>
                  <w:rFonts w:ascii="Calibri" w:eastAsia="Times New Roman" w:hAnsi="Calibri" w:cs="Calibri"/>
                  <w:lang w:val="et-EE" w:eastAsia="et-EE"/>
                </w:rPr>
                <w:t>https://www.ambergrid.lt/en/services/transmissionnetworkcode</w:t>
              </w:r>
            </w:hyperlink>
          </w:p>
          <w:p w14:paraId="4AF14C90" w14:textId="77777777" w:rsidR="009D561B" w:rsidRPr="00681F8C" w:rsidRDefault="009D561B" w:rsidP="009D561B">
            <w:pPr>
              <w:spacing w:after="0" w:line="240" w:lineRule="auto"/>
              <w:rPr>
                <w:rFonts w:ascii="Calibri" w:eastAsia="Times New Roman" w:hAnsi="Calibri" w:cs="Calibri"/>
                <w:color w:val="000000"/>
                <w:lang w:val="et-EE" w:eastAsia="et-EE"/>
              </w:rPr>
            </w:pPr>
          </w:p>
        </w:tc>
      </w:tr>
      <w:tr w:rsidR="009D561B" w:rsidRPr="00681F8C" w14:paraId="5AB4839B"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447EE012"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(f)</w:t>
            </w:r>
          </w:p>
        </w:tc>
        <w:tc>
          <w:tcPr>
            <w:tcW w:w="724" w:type="pct"/>
            <w:tcBorders>
              <w:top w:val="nil"/>
              <w:left w:val="nil"/>
              <w:bottom w:val="single" w:sz="4" w:space="0" w:color="auto"/>
              <w:right w:val="single" w:sz="4" w:space="0" w:color="auto"/>
            </w:tcBorders>
            <w:shd w:val="clear" w:color="auto" w:fill="auto"/>
            <w:vAlign w:val="center"/>
            <w:hideMark/>
          </w:tcPr>
          <w:p w14:paraId="5266F48B"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Rules applicable for capacity trade on the secondary market</w:t>
            </w:r>
          </w:p>
        </w:tc>
        <w:tc>
          <w:tcPr>
            <w:tcW w:w="680" w:type="pct"/>
            <w:tcBorders>
              <w:top w:val="nil"/>
              <w:left w:val="nil"/>
              <w:bottom w:val="single" w:sz="4" w:space="0" w:color="auto"/>
              <w:right w:val="single" w:sz="4" w:space="0" w:color="auto"/>
            </w:tcBorders>
            <w:shd w:val="clear" w:color="auto" w:fill="auto"/>
            <w:vAlign w:val="center"/>
            <w:hideMark/>
          </w:tcPr>
          <w:p w14:paraId="52C068D0" w14:textId="2B3059F0" w:rsidR="009D561B" w:rsidRPr="00681F8C" w:rsidRDefault="00B06992" w:rsidP="009D561B">
            <w:pPr>
              <w:spacing w:after="0" w:line="240" w:lineRule="auto"/>
              <w:rPr>
                <w:rFonts w:ascii="Calibri" w:eastAsia="Times New Roman" w:hAnsi="Calibri" w:cs="Calibri"/>
                <w:color w:val="000000"/>
                <w:lang w:val="et-EE" w:eastAsia="et-EE"/>
              </w:rPr>
            </w:pPr>
            <w:hyperlink r:id="rId52" w:history="1">
              <w:r w:rsidR="009D561B" w:rsidRPr="00681F8C">
                <w:rPr>
                  <w:rStyle w:val="Hyperlink"/>
                  <w:rFonts w:ascii="Calibri" w:eastAsia="Times New Roman" w:hAnsi="Calibri" w:cs="Calibri"/>
                  <w:lang w:val="et-EE" w:eastAsia="et-EE"/>
                </w:rPr>
                <w:t>Defined in point (6) of Transmission Regulation - Secondary capacity trading</w:t>
              </w:r>
            </w:hyperlink>
          </w:p>
        </w:tc>
        <w:tc>
          <w:tcPr>
            <w:tcW w:w="862" w:type="pct"/>
            <w:tcBorders>
              <w:top w:val="nil"/>
              <w:left w:val="nil"/>
              <w:bottom w:val="single" w:sz="4" w:space="0" w:color="auto"/>
              <w:right w:val="single" w:sz="4" w:space="0" w:color="auto"/>
            </w:tcBorders>
            <w:shd w:val="clear" w:color="auto" w:fill="auto"/>
            <w:vAlign w:val="center"/>
            <w:hideMark/>
          </w:tcPr>
          <w:p w14:paraId="3A81D81E" w14:textId="0A66753E" w:rsidR="009D561B" w:rsidRPr="00681F8C" w:rsidRDefault="00B06992" w:rsidP="009D561B">
            <w:pPr>
              <w:spacing w:after="0" w:line="240" w:lineRule="auto"/>
              <w:rPr>
                <w:rFonts w:ascii="Calibri" w:eastAsia="Times New Roman" w:hAnsi="Calibri" w:cs="Calibri"/>
                <w:color w:val="000000"/>
                <w:lang w:val="et-EE" w:eastAsia="et-EE"/>
              </w:rPr>
            </w:pPr>
            <w:hyperlink r:id="rId53" w:history="1">
              <w:r w:rsidR="009D561B" w:rsidRPr="00681F8C">
                <w:rPr>
                  <w:rStyle w:val="Hyperlink"/>
                  <w:rFonts w:ascii="Calibri" w:eastAsia="Times New Roman" w:hAnsi="Calibri" w:cs="Calibri"/>
                  <w:lang w:val="et-EE" w:eastAsia="et-EE"/>
                </w:rPr>
                <w:t>Defined in point (6) of Transmission Regulation - Secondary capacity trading</w:t>
              </w:r>
            </w:hyperlink>
          </w:p>
        </w:tc>
        <w:tc>
          <w:tcPr>
            <w:tcW w:w="907" w:type="pct"/>
            <w:tcBorders>
              <w:top w:val="nil"/>
              <w:left w:val="nil"/>
              <w:bottom w:val="single" w:sz="4" w:space="0" w:color="auto"/>
              <w:right w:val="single" w:sz="4" w:space="0" w:color="auto"/>
            </w:tcBorders>
            <w:shd w:val="clear" w:color="auto" w:fill="auto"/>
            <w:noWrap/>
            <w:vAlign w:val="center"/>
            <w:hideMark/>
          </w:tcPr>
          <w:p w14:paraId="224CC799" w14:textId="47AB9604" w:rsidR="009D561B" w:rsidRPr="00681F8C" w:rsidRDefault="00B06992" w:rsidP="009D561B">
            <w:pPr>
              <w:spacing w:after="0" w:line="240" w:lineRule="auto"/>
              <w:rPr>
                <w:rFonts w:ascii="Calibri" w:eastAsia="Times New Roman" w:hAnsi="Calibri" w:cs="Calibri"/>
                <w:color w:val="000000"/>
                <w:lang w:val="et-EE" w:eastAsia="et-EE"/>
              </w:rPr>
            </w:pPr>
            <w:hyperlink r:id="rId54" w:history="1">
              <w:r w:rsidR="009D561B" w:rsidRPr="009D561B">
                <w:rPr>
                  <w:rStyle w:val="Hyperlink"/>
                  <w:rFonts w:ascii="Calibri" w:eastAsia="Times New Roman" w:hAnsi="Calibri" w:cs="Calibri"/>
                  <w:lang w:val="et-EE" w:eastAsia="et-EE"/>
                </w:rPr>
                <w:t>Rules for gas Transmission (chapter 6)</w:t>
              </w:r>
            </w:hyperlink>
          </w:p>
        </w:tc>
        <w:tc>
          <w:tcPr>
            <w:tcW w:w="800" w:type="pct"/>
            <w:tcBorders>
              <w:top w:val="nil"/>
              <w:left w:val="nil"/>
              <w:bottom w:val="single" w:sz="4" w:space="0" w:color="auto"/>
              <w:right w:val="single" w:sz="4" w:space="0" w:color="auto"/>
            </w:tcBorders>
            <w:shd w:val="clear" w:color="auto" w:fill="auto"/>
            <w:noWrap/>
            <w:vAlign w:val="center"/>
            <w:hideMark/>
          </w:tcPr>
          <w:p w14:paraId="09895F1A" w14:textId="77777777" w:rsidR="009D561B" w:rsidRDefault="00B06992" w:rsidP="009D561B">
            <w:pPr>
              <w:spacing w:after="0" w:line="240" w:lineRule="auto"/>
              <w:rPr>
                <w:rFonts w:ascii="Calibri" w:eastAsia="Times New Roman" w:hAnsi="Calibri" w:cs="Calibri"/>
                <w:color w:val="000000"/>
                <w:lang w:val="et-EE" w:eastAsia="et-EE"/>
              </w:rPr>
            </w:pPr>
            <w:hyperlink r:id="rId55" w:history="1">
              <w:r w:rsidR="009D561B" w:rsidRPr="003D0AF9">
                <w:rPr>
                  <w:rStyle w:val="Hyperlink"/>
                  <w:rFonts w:ascii="Calibri" w:eastAsia="Times New Roman" w:hAnsi="Calibri" w:cs="Calibri"/>
                  <w:lang w:val="et-EE" w:eastAsia="et-EE"/>
                </w:rPr>
                <w:t>https://www.ambergrid.lt/en/services/transmissionnetworkcode</w:t>
              </w:r>
            </w:hyperlink>
          </w:p>
          <w:p w14:paraId="7692041B" w14:textId="77777777" w:rsidR="009D561B" w:rsidRPr="00681F8C" w:rsidRDefault="009D561B" w:rsidP="009D561B">
            <w:pPr>
              <w:spacing w:after="0" w:line="240" w:lineRule="auto"/>
              <w:rPr>
                <w:rFonts w:ascii="Calibri" w:eastAsia="Times New Roman" w:hAnsi="Calibri" w:cs="Calibri"/>
                <w:color w:val="000000"/>
                <w:lang w:val="et-EE" w:eastAsia="et-EE"/>
              </w:rPr>
            </w:pPr>
          </w:p>
        </w:tc>
      </w:tr>
      <w:tr w:rsidR="009D561B" w:rsidRPr="00681F8C" w14:paraId="08C4C71E"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A29BEA1"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(g)</w:t>
            </w:r>
          </w:p>
        </w:tc>
        <w:tc>
          <w:tcPr>
            <w:tcW w:w="724" w:type="pct"/>
            <w:tcBorders>
              <w:top w:val="nil"/>
              <w:left w:val="nil"/>
              <w:bottom w:val="single" w:sz="4" w:space="0" w:color="auto"/>
              <w:right w:val="single" w:sz="4" w:space="0" w:color="auto"/>
            </w:tcBorders>
            <w:shd w:val="clear" w:color="auto" w:fill="auto"/>
            <w:vAlign w:val="center"/>
            <w:hideMark/>
          </w:tcPr>
          <w:p w14:paraId="0E8300DB"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 xml:space="preserve">Rules on balancing and methodology for the </w:t>
            </w:r>
            <w:r w:rsidRPr="00681F8C">
              <w:rPr>
                <w:rFonts w:ascii="Calibri" w:eastAsia="Times New Roman" w:hAnsi="Calibri" w:cs="Calibri"/>
                <w:color w:val="000000"/>
                <w:lang w:val="et-EE" w:eastAsia="et-EE"/>
              </w:rPr>
              <w:lastRenderedPageBreak/>
              <w:t>calculation of imbalance charges</w:t>
            </w:r>
          </w:p>
        </w:tc>
        <w:tc>
          <w:tcPr>
            <w:tcW w:w="680" w:type="pct"/>
            <w:tcBorders>
              <w:top w:val="nil"/>
              <w:left w:val="nil"/>
              <w:bottom w:val="single" w:sz="4" w:space="0" w:color="auto"/>
              <w:right w:val="single" w:sz="4" w:space="0" w:color="auto"/>
            </w:tcBorders>
            <w:shd w:val="clear" w:color="auto" w:fill="auto"/>
            <w:vAlign w:val="center"/>
            <w:hideMark/>
          </w:tcPr>
          <w:p w14:paraId="52C48748" w14:textId="5F98A08B" w:rsidR="009D561B" w:rsidRPr="00681F8C" w:rsidRDefault="00B06992" w:rsidP="009D561B">
            <w:pPr>
              <w:spacing w:after="0" w:line="240" w:lineRule="auto"/>
              <w:rPr>
                <w:rFonts w:ascii="Calibri" w:eastAsia="Times New Roman" w:hAnsi="Calibri" w:cs="Calibri"/>
                <w:color w:val="000000"/>
                <w:lang w:val="et-EE" w:eastAsia="et-EE"/>
              </w:rPr>
            </w:pPr>
            <w:hyperlink r:id="rId56" w:history="1">
              <w:r w:rsidR="009D561B" w:rsidRPr="00681F8C">
                <w:rPr>
                  <w:rStyle w:val="Hyperlink"/>
                  <w:rFonts w:ascii="Calibri" w:eastAsia="Times New Roman" w:hAnsi="Calibri" w:cs="Calibri"/>
                  <w:lang w:val="et-EE" w:eastAsia="et-EE"/>
                </w:rPr>
                <w:t xml:space="preserve">Defined in point (8) of Transmission Regulation - </w:t>
              </w:r>
              <w:r w:rsidR="009D561B" w:rsidRPr="00681F8C">
                <w:rPr>
                  <w:rStyle w:val="Hyperlink"/>
                  <w:rFonts w:ascii="Calibri" w:eastAsia="Times New Roman" w:hAnsi="Calibri" w:cs="Calibri"/>
                  <w:lang w:val="et-EE" w:eastAsia="et-EE"/>
                </w:rPr>
                <w:lastRenderedPageBreak/>
                <w:t>Settlement of imbalance and neutrality charges</w:t>
              </w:r>
            </w:hyperlink>
          </w:p>
        </w:tc>
        <w:tc>
          <w:tcPr>
            <w:tcW w:w="862" w:type="pct"/>
            <w:tcBorders>
              <w:top w:val="nil"/>
              <w:left w:val="nil"/>
              <w:bottom w:val="single" w:sz="4" w:space="0" w:color="auto"/>
              <w:right w:val="single" w:sz="4" w:space="0" w:color="auto"/>
            </w:tcBorders>
            <w:shd w:val="clear" w:color="auto" w:fill="auto"/>
            <w:vAlign w:val="center"/>
            <w:hideMark/>
          </w:tcPr>
          <w:p w14:paraId="393CB8AF" w14:textId="62323F58" w:rsidR="009D561B" w:rsidRPr="00D7353E" w:rsidRDefault="009D561B" w:rsidP="009D561B">
            <w:pPr>
              <w:rPr>
                <w:rStyle w:val="Hyperlink"/>
                <w:rFonts w:ascii="Calibri" w:eastAsia="Times New Roman" w:hAnsi="Calibri" w:cs="Calibri"/>
                <w:lang w:val="et-EE" w:eastAsia="et-EE"/>
              </w:rPr>
            </w:pPr>
            <w:r>
              <w:rPr>
                <w:rFonts w:ascii="Calibri" w:eastAsia="Times New Roman" w:hAnsi="Calibri" w:cs="Calibri"/>
                <w:lang w:val="et-EE" w:eastAsia="et-EE"/>
              </w:rPr>
              <w:lastRenderedPageBreak/>
              <w:fldChar w:fldCharType="begin"/>
            </w:r>
            <w:r>
              <w:rPr>
                <w:rFonts w:ascii="Calibri" w:eastAsia="Times New Roman" w:hAnsi="Calibri" w:cs="Calibri"/>
                <w:lang w:val="et-EE" w:eastAsia="et-EE"/>
              </w:rPr>
              <w:instrText xml:space="preserve"> HYPERLINK "https://elering.ee/en/balancing-service" </w:instrText>
            </w:r>
            <w:r>
              <w:rPr>
                <w:rFonts w:ascii="Calibri" w:eastAsia="Times New Roman" w:hAnsi="Calibri" w:cs="Calibri"/>
                <w:lang w:val="et-EE" w:eastAsia="et-EE"/>
              </w:rPr>
              <w:fldChar w:fldCharType="separate"/>
            </w:r>
            <w:r w:rsidRPr="00D7353E">
              <w:rPr>
                <w:rStyle w:val="Hyperlink"/>
                <w:rFonts w:ascii="Calibri" w:eastAsia="Times New Roman" w:hAnsi="Calibri" w:cs="Calibri"/>
                <w:lang w:val="et-EE" w:eastAsia="et-EE"/>
              </w:rPr>
              <w:t xml:space="preserve">Defined in point (8) of Transmission Regulation - </w:t>
            </w:r>
            <w:r w:rsidRPr="00D7353E">
              <w:rPr>
                <w:rStyle w:val="Hyperlink"/>
                <w:rFonts w:ascii="Calibri" w:eastAsia="Times New Roman" w:hAnsi="Calibri" w:cs="Calibri"/>
                <w:lang w:val="et-EE" w:eastAsia="et-EE"/>
              </w:rPr>
              <w:lastRenderedPageBreak/>
              <w:t>Settlement of imbalance and neutrality charges</w:t>
            </w:r>
          </w:p>
          <w:p w14:paraId="5886B80F" w14:textId="59BC4AC4" w:rsidR="009D561B" w:rsidRPr="00D7353E" w:rsidRDefault="009D561B" w:rsidP="009D561B">
            <w:pPr>
              <w:rPr>
                <w:rFonts w:ascii="Calibri" w:eastAsia="Times New Roman" w:hAnsi="Calibri" w:cs="Calibri"/>
                <w:lang w:val="et-EE" w:eastAsia="et-EE"/>
              </w:rPr>
            </w:pPr>
            <w:r>
              <w:rPr>
                <w:rFonts w:ascii="Calibri" w:eastAsia="Times New Roman" w:hAnsi="Calibri" w:cs="Calibri"/>
                <w:lang w:val="et-EE" w:eastAsia="et-EE"/>
              </w:rPr>
              <w:fldChar w:fldCharType="end"/>
            </w:r>
          </w:p>
        </w:tc>
        <w:tc>
          <w:tcPr>
            <w:tcW w:w="907" w:type="pct"/>
            <w:tcBorders>
              <w:top w:val="nil"/>
              <w:left w:val="nil"/>
              <w:bottom w:val="single" w:sz="4" w:space="0" w:color="auto"/>
              <w:right w:val="single" w:sz="4" w:space="0" w:color="auto"/>
            </w:tcBorders>
            <w:shd w:val="clear" w:color="auto" w:fill="auto"/>
            <w:noWrap/>
            <w:vAlign w:val="center"/>
            <w:hideMark/>
          </w:tcPr>
          <w:p w14:paraId="62DBED9B" w14:textId="08516299" w:rsidR="009D561B" w:rsidRDefault="00B06992" w:rsidP="009D561B">
            <w:pPr>
              <w:spacing w:after="0" w:line="240" w:lineRule="auto"/>
              <w:rPr>
                <w:rFonts w:ascii="Calibri" w:eastAsia="Times New Roman" w:hAnsi="Calibri" w:cs="Calibri"/>
                <w:color w:val="000000"/>
                <w:lang w:val="et-EE" w:eastAsia="et-EE"/>
              </w:rPr>
            </w:pPr>
            <w:hyperlink r:id="rId57" w:history="1">
              <w:r w:rsidR="009D561B" w:rsidRPr="009D561B">
                <w:rPr>
                  <w:rStyle w:val="Hyperlink"/>
                  <w:rFonts w:ascii="Calibri" w:eastAsia="Times New Roman" w:hAnsi="Calibri" w:cs="Calibri"/>
                  <w:lang w:val="et-EE" w:eastAsia="et-EE"/>
                </w:rPr>
                <w:t>Rules for gas Transmission (chapter 9)</w:t>
              </w:r>
            </w:hyperlink>
            <w:r w:rsidR="009D561B">
              <w:rPr>
                <w:rFonts w:ascii="Calibri" w:eastAsia="Times New Roman" w:hAnsi="Calibri" w:cs="Calibri"/>
                <w:color w:val="000000"/>
                <w:lang w:val="et-EE" w:eastAsia="et-EE"/>
              </w:rPr>
              <w:t xml:space="preserve"> </w:t>
            </w:r>
          </w:p>
          <w:p w14:paraId="23588AA2" w14:textId="77777777" w:rsidR="00FC2D9C" w:rsidRDefault="00FC2D9C" w:rsidP="009D561B">
            <w:pPr>
              <w:spacing w:after="0" w:line="240" w:lineRule="auto"/>
              <w:rPr>
                <w:rFonts w:ascii="Calibri" w:eastAsia="Times New Roman" w:hAnsi="Calibri" w:cs="Calibri"/>
                <w:color w:val="000000"/>
                <w:lang w:val="et-EE" w:eastAsia="et-EE"/>
              </w:rPr>
            </w:pPr>
          </w:p>
          <w:p w14:paraId="43500EA9" w14:textId="4FE7A1F3" w:rsidR="00FC2D9C" w:rsidRPr="00681F8C" w:rsidRDefault="00B06992" w:rsidP="009D561B">
            <w:pPr>
              <w:spacing w:after="0" w:line="240" w:lineRule="auto"/>
              <w:rPr>
                <w:rFonts w:ascii="Calibri" w:eastAsia="Times New Roman" w:hAnsi="Calibri" w:cs="Calibri"/>
                <w:color w:val="000000"/>
                <w:lang w:val="et-EE" w:eastAsia="et-EE"/>
              </w:rPr>
            </w:pPr>
            <w:hyperlink r:id="rId58" w:history="1">
              <w:r w:rsidR="00741DA7" w:rsidRPr="00741DA7">
                <w:rPr>
                  <w:rStyle w:val="Hyperlink"/>
                  <w:rFonts w:ascii="Calibri" w:eastAsia="Times New Roman" w:hAnsi="Calibri" w:cs="Calibri"/>
                  <w:lang w:val="et-EE" w:eastAsia="et-EE"/>
                </w:rPr>
                <w:t>Imbalance charges (chapter 17.4.)</w:t>
              </w:r>
            </w:hyperlink>
          </w:p>
        </w:tc>
        <w:tc>
          <w:tcPr>
            <w:tcW w:w="800" w:type="pct"/>
            <w:tcBorders>
              <w:top w:val="nil"/>
              <w:left w:val="nil"/>
              <w:bottom w:val="single" w:sz="4" w:space="0" w:color="auto"/>
              <w:right w:val="single" w:sz="4" w:space="0" w:color="auto"/>
            </w:tcBorders>
            <w:shd w:val="clear" w:color="auto" w:fill="auto"/>
            <w:noWrap/>
            <w:vAlign w:val="center"/>
            <w:hideMark/>
          </w:tcPr>
          <w:p w14:paraId="30D7121F" w14:textId="77777777" w:rsidR="009D561B" w:rsidRDefault="00B06992" w:rsidP="009D561B">
            <w:pPr>
              <w:spacing w:after="0" w:line="240" w:lineRule="auto"/>
              <w:rPr>
                <w:rFonts w:ascii="Calibri" w:eastAsia="Times New Roman" w:hAnsi="Calibri" w:cs="Calibri"/>
                <w:color w:val="000000"/>
                <w:lang w:val="et-EE" w:eastAsia="et-EE"/>
              </w:rPr>
            </w:pPr>
            <w:hyperlink r:id="rId59" w:history="1">
              <w:r w:rsidR="009D561B" w:rsidRPr="003D0AF9">
                <w:rPr>
                  <w:rStyle w:val="Hyperlink"/>
                  <w:rFonts w:ascii="Calibri" w:eastAsia="Times New Roman" w:hAnsi="Calibri" w:cs="Calibri"/>
                  <w:lang w:val="et-EE" w:eastAsia="et-EE"/>
                </w:rPr>
                <w:t>https://www.ambergrid.lt/en/services/balancing/rules-of-balancing</w:t>
              </w:r>
            </w:hyperlink>
          </w:p>
          <w:p w14:paraId="714F42DB" w14:textId="77777777" w:rsidR="009D561B" w:rsidRPr="00681F8C" w:rsidRDefault="009D561B" w:rsidP="009D561B">
            <w:pPr>
              <w:spacing w:after="0" w:line="240" w:lineRule="auto"/>
              <w:rPr>
                <w:rFonts w:ascii="Calibri" w:eastAsia="Times New Roman" w:hAnsi="Calibri" w:cs="Calibri"/>
                <w:color w:val="000000"/>
                <w:lang w:val="et-EE" w:eastAsia="et-EE"/>
              </w:rPr>
            </w:pPr>
          </w:p>
        </w:tc>
      </w:tr>
      <w:tr w:rsidR="009D561B" w:rsidRPr="00681F8C" w14:paraId="0F0000BB" w14:textId="77777777" w:rsidTr="006A7973">
        <w:trPr>
          <w:gridAfter w:val="1"/>
          <w:wAfter w:w="799" w:type="pct"/>
          <w:trHeight w:val="1200"/>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7919C"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(h)</w:t>
            </w:r>
          </w:p>
        </w:tc>
        <w:tc>
          <w:tcPr>
            <w:tcW w:w="724" w:type="pct"/>
            <w:tcBorders>
              <w:top w:val="single" w:sz="4" w:space="0" w:color="auto"/>
              <w:left w:val="nil"/>
              <w:bottom w:val="single" w:sz="4" w:space="0" w:color="auto"/>
              <w:right w:val="single" w:sz="4" w:space="0" w:color="auto"/>
            </w:tcBorders>
            <w:shd w:val="clear" w:color="auto" w:fill="auto"/>
            <w:vAlign w:val="center"/>
            <w:hideMark/>
          </w:tcPr>
          <w:p w14:paraId="2339BAA2"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Flexibility and tolerance levels included in transportation and other services without separate charge, as well as any flexibility offered in addition to this and the corresponding charges</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78B98BBA" w14:textId="77777777" w:rsidR="009D561B" w:rsidRPr="00681F8C" w:rsidRDefault="009D561B" w:rsidP="009D561B">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Currently not offered by Conexus Baltic Grid</w:t>
            </w:r>
          </w:p>
        </w:tc>
        <w:tc>
          <w:tcPr>
            <w:tcW w:w="862" w:type="pct"/>
            <w:tcBorders>
              <w:top w:val="single" w:sz="4" w:space="0" w:color="auto"/>
              <w:left w:val="nil"/>
              <w:bottom w:val="single" w:sz="4" w:space="0" w:color="auto"/>
              <w:right w:val="single" w:sz="4" w:space="0" w:color="auto"/>
            </w:tcBorders>
            <w:shd w:val="clear" w:color="auto" w:fill="auto"/>
            <w:vAlign w:val="center"/>
            <w:hideMark/>
          </w:tcPr>
          <w:p w14:paraId="013252DD" w14:textId="51EBA0A2"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lang w:val="et-EE" w:eastAsia="et-EE"/>
              </w:rPr>
              <w:t xml:space="preserve">Currently not offered by </w:t>
            </w:r>
            <w:r>
              <w:rPr>
                <w:rFonts w:ascii="Calibri" w:eastAsia="Times New Roman" w:hAnsi="Calibri" w:cs="Calibri"/>
                <w:lang w:val="et-EE" w:eastAsia="et-EE"/>
              </w:rPr>
              <w:t>Elering</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14:paraId="18C7D40C" w14:textId="77777777" w:rsidR="009D561B" w:rsidRDefault="00B06992" w:rsidP="009D561B">
            <w:pPr>
              <w:spacing w:after="0" w:line="240" w:lineRule="auto"/>
              <w:rPr>
                <w:rFonts w:ascii="Calibri" w:eastAsia="Times New Roman" w:hAnsi="Calibri" w:cs="Calibri"/>
                <w:color w:val="000000"/>
                <w:lang w:val="et-EE" w:eastAsia="et-EE"/>
              </w:rPr>
            </w:pPr>
            <w:hyperlink r:id="rId60" w:history="1">
              <w:r w:rsidR="00741DA7" w:rsidRPr="00741DA7">
                <w:rPr>
                  <w:rStyle w:val="Hyperlink"/>
                  <w:rFonts w:ascii="Calibri" w:eastAsia="Times New Roman" w:hAnsi="Calibri" w:cs="Calibri"/>
                  <w:lang w:val="et-EE" w:eastAsia="et-EE"/>
                </w:rPr>
                <w:t>Balticconnector tolerance for avoiding underutilization fee (chapter 4.4.)</w:t>
              </w:r>
            </w:hyperlink>
          </w:p>
          <w:p w14:paraId="40E50132" w14:textId="77777777" w:rsidR="00741DA7" w:rsidRDefault="00741DA7" w:rsidP="009D561B">
            <w:pPr>
              <w:spacing w:after="0" w:line="240" w:lineRule="auto"/>
              <w:rPr>
                <w:rFonts w:ascii="Calibri" w:eastAsia="Times New Roman" w:hAnsi="Calibri" w:cs="Calibri"/>
                <w:color w:val="000000"/>
                <w:lang w:val="et-EE" w:eastAsia="et-EE"/>
              </w:rPr>
            </w:pPr>
          </w:p>
          <w:p w14:paraId="02A1982B" w14:textId="20983CF8" w:rsidR="00741DA7" w:rsidRPr="00681F8C" w:rsidRDefault="00B06992" w:rsidP="009D561B">
            <w:pPr>
              <w:spacing w:after="0" w:line="240" w:lineRule="auto"/>
              <w:rPr>
                <w:rFonts w:ascii="Calibri" w:eastAsia="Times New Roman" w:hAnsi="Calibri" w:cs="Calibri"/>
                <w:color w:val="000000"/>
                <w:lang w:val="et-EE" w:eastAsia="et-EE"/>
              </w:rPr>
            </w:pPr>
            <w:hyperlink r:id="rId61" w:history="1">
              <w:r w:rsidR="00741DA7" w:rsidRPr="00741DA7">
                <w:rPr>
                  <w:rStyle w:val="Hyperlink"/>
                  <w:rFonts w:ascii="Calibri" w:eastAsia="Times New Roman" w:hAnsi="Calibri" w:cs="Calibri"/>
                  <w:lang w:val="et-EE" w:eastAsia="et-EE"/>
                </w:rPr>
                <w:t>Balticconnector tolerance and underutilization fee</w:t>
              </w:r>
            </w:hyperlink>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14:paraId="0C575FB9" w14:textId="0541BA5F" w:rsidR="009D561B" w:rsidRPr="00681F8C" w:rsidRDefault="009D561B" w:rsidP="009D561B">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NA</w:t>
            </w:r>
          </w:p>
        </w:tc>
      </w:tr>
      <w:tr w:rsidR="009D561B" w:rsidRPr="00681F8C" w14:paraId="6F476401" w14:textId="77777777" w:rsidTr="006A7973">
        <w:trPr>
          <w:gridAfter w:val="1"/>
          <w:wAfter w:w="799" w:type="pct"/>
          <w:trHeight w:val="9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0E28B9D6"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(i)</w:t>
            </w:r>
          </w:p>
        </w:tc>
        <w:tc>
          <w:tcPr>
            <w:tcW w:w="724" w:type="pct"/>
            <w:tcBorders>
              <w:top w:val="nil"/>
              <w:left w:val="nil"/>
              <w:bottom w:val="single" w:sz="4" w:space="0" w:color="auto"/>
              <w:right w:val="single" w:sz="4" w:space="0" w:color="auto"/>
            </w:tcBorders>
            <w:shd w:val="clear" w:color="auto" w:fill="auto"/>
            <w:vAlign w:val="center"/>
            <w:hideMark/>
          </w:tcPr>
          <w:p w14:paraId="4B6DEE14"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Description of the gas system of the transmission system operator and its relevant points of interconnection</w:t>
            </w:r>
          </w:p>
        </w:tc>
        <w:tc>
          <w:tcPr>
            <w:tcW w:w="680" w:type="pct"/>
            <w:tcBorders>
              <w:top w:val="nil"/>
              <w:left w:val="nil"/>
              <w:bottom w:val="single" w:sz="4" w:space="0" w:color="auto"/>
              <w:right w:val="single" w:sz="4" w:space="0" w:color="auto"/>
            </w:tcBorders>
            <w:shd w:val="clear" w:color="auto" w:fill="auto"/>
            <w:vAlign w:val="center"/>
            <w:hideMark/>
          </w:tcPr>
          <w:p w14:paraId="53535CF7" w14:textId="4BF24A4C" w:rsidR="009D561B" w:rsidRPr="00681F8C" w:rsidRDefault="00B06992" w:rsidP="009D561B">
            <w:pPr>
              <w:spacing w:after="0" w:line="240" w:lineRule="auto"/>
              <w:rPr>
                <w:rFonts w:ascii="Calibri" w:eastAsia="Times New Roman" w:hAnsi="Calibri" w:cs="Calibri"/>
                <w:lang w:val="et-EE" w:eastAsia="et-EE"/>
              </w:rPr>
            </w:pPr>
            <w:hyperlink r:id="rId62" w:history="1">
              <w:r w:rsidR="009D561B" w:rsidRPr="00681F8C">
                <w:rPr>
                  <w:rStyle w:val="Hyperlink"/>
                  <w:rFonts w:ascii="Calibri" w:eastAsia="Times New Roman" w:hAnsi="Calibri" w:cs="Calibri"/>
                  <w:lang w:val="et-EE" w:eastAsia="et-EE"/>
                </w:rPr>
                <w:t>Conexus Baltic Grid Operating segments</w:t>
              </w:r>
            </w:hyperlink>
            <w:r w:rsidR="009D561B" w:rsidRPr="00681F8C">
              <w:rPr>
                <w:rFonts w:ascii="Calibri" w:eastAsia="Times New Roman" w:hAnsi="Calibri" w:cs="Calibri"/>
                <w:lang w:val="et-EE" w:eastAsia="et-EE"/>
              </w:rPr>
              <w:br/>
            </w:r>
            <w:hyperlink r:id="rId63" w:anchor="transmission-capacity-map-2019" w:history="1">
              <w:r w:rsidR="009D561B" w:rsidRPr="00681F8C">
                <w:rPr>
                  <w:rStyle w:val="Hyperlink"/>
                  <w:rFonts w:ascii="Calibri" w:eastAsia="Times New Roman" w:hAnsi="Calibri" w:cs="Calibri"/>
                  <w:lang w:val="et-EE" w:eastAsia="et-EE"/>
                </w:rPr>
                <w:t>ENTSOG Transmission Capacity Map</w:t>
              </w:r>
            </w:hyperlink>
            <w:r w:rsidR="009D561B" w:rsidRPr="00681F8C">
              <w:rPr>
                <w:rFonts w:ascii="Calibri" w:eastAsia="Times New Roman" w:hAnsi="Calibri" w:cs="Calibri"/>
                <w:lang w:val="et-EE" w:eastAsia="et-EE"/>
              </w:rPr>
              <w:br/>
            </w:r>
            <w:hyperlink r:id="rId64" w:anchor="/map" w:history="1">
              <w:r w:rsidR="009D561B" w:rsidRPr="00681F8C">
                <w:rPr>
                  <w:rStyle w:val="Hyperlink"/>
                  <w:rFonts w:ascii="Calibri" w:eastAsia="Times New Roman" w:hAnsi="Calibri" w:cs="Calibri"/>
                  <w:lang w:val="et-EE" w:eastAsia="et-EE"/>
                </w:rPr>
                <w:t>ENTSOG Transparency Platform</w:t>
              </w:r>
            </w:hyperlink>
          </w:p>
        </w:tc>
        <w:tc>
          <w:tcPr>
            <w:tcW w:w="862" w:type="pct"/>
            <w:tcBorders>
              <w:top w:val="nil"/>
              <w:left w:val="nil"/>
              <w:bottom w:val="single" w:sz="4" w:space="0" w:color="auto"/>
              <w:right w:val="single" w:sz="4" w:space="0" w:color="auto"/>
            </w:tcBorders>
            <w:shd w:val="clear" w:color="auto" w:fill="auto"/>
            <w:vAlign w:val="center"/>
            <w:hideMark/>
          </w:tcPr>
          <w:p w14:paraId="4022588E" w14:textId="70128AC0" w:rsidR="009D561B" w:rsidRPr="00681F8C" w:rsidRDefault="00B06992" w:rsidP="009D561B">
            <w:pPr>
              <w:spacing w:after="0" w:line="240" w:lineRule="auto"/>
              <w:rPr>
                <w:rFonts w:ascii="Calibri" w:eastAsia="Times New Roman" w:hAnsi="Calibri" w:cs="Calibri"/>
                <w:color w:val="000000"/>
                <w:lang w:val="et-EE" w:eastAsia="et-EE"/>
              </w:rPr>
            </w:pPr>
            <w:hyperlink r:id="rId65" w:history="1">
              <w:r w:rsidR="009D561B">
                <w:rPr>
                  <w:rStyle w:val="Hyperlink"/>
                  <w:rFonts w:ascii="Calibri" w:eastAsia="Times New Roman" w:hAnsi="Calibri" w:cs="Calibri"/>
                  <w:lang w:val="et-EE" w:eastAsia="et-EE"/>
                </w:rPr>
                <w:t>E</w:t>
              </w:r>
              <w:proofErr w:type="spellStart"/>
              <w:r w:rsidR="009D561B">
                <w:rPr>
                  <w:rStyle w:val="Hyperlink"/>
                </w:rPr>
                <w:t>lering</w:t>
              </w:r>
              <w:proofErr w:type="spellEnd"/>
              <w:r w:rsidR="009D561B">
                <w:rPr>
                  <w:rStyle w:val="Hyperlink"/>
                </w:rPr>
                <w:t xml:space="preserve"> and Estonian gas system description</w:t>
              </w:r>
            </w:hyperlink>
            <w:r w:rsidR="009D561B" w:rsidRPr="00681F8C">
              <w:rPr>
                <w:rFonts w:ascii="Calibri" w:eastAsia="Times New Roman" w:hAnsi="Calibri" w:cs="Calibri"/>
                <w:lang w:val="et-EE" w:eastAsia="et-EE"/>
              </w:rPr>
              <w:br/>
            </w:r>
            <w:hyperlink r:id="rId66" w:anchor="transmission-capacity-map-2019" w:history="1">
              <w:r w:rsidR="009D561B" w:rsidRPr="00681F8C">
                <w:rPr>
                  <w:rStyle w:val="Hyperlink"/>
                  <w:rFonts w:ascii="Calibri" w:eastAsia="Times New Roman" w:hAnsi="Calibri" w:cs="Calibri"/>
                  <w:lang w:val="et-EE" w:eastAsia="et-EE"/>
                </w:rPr>
                <w:t>ENTSOG Transmission Capacity Map</w:t>
              </w:r>
            </w:hyperlink>
            <w:r w:rsidR="009D561B" w:rsidRPr="00681F8C">
              <w:rPr>
                <w:rFonts w:ascii="Calibri" w:eastAsia="Times New Roman" w:hAnsi="Calibri" w:cs="Calibri"/>
                <w:lang w:val="et-EE" w:eastAsia="et-EE"/>
              </w:rPr>
              <w:br/>
            </w:r>
            <w:hyperlink r:id="rId67" w:anchor="/map" w:history="1">
              <w:r w:rsidR="009D561B" w:rsidRPr="00681F8C">
                <w:rPr>
                  <w:rStyle w:val="Hyperlink"/>
                  <w:rFonts w:ascii="Calibri" w:eastAsia="Times New Roman" w:hAnsi="Calibri" w:cs="Calibri"/>
                  <w:lang w:val="et-EE" w:eastAsia="et-EE"/>
                </w:rPr>
                <w:t>ENTSOG Transparency Platform</w:t>
              </w:r>
            </w:hyperlink>
            <w:r w:rsidR="009D561B" w:rsidRPr="00681F8C">
              <w:rPr>
                <w:rFonts w:ascii="Calibri" w:eastAsia="Times New Roman" w:hAnsi="Calibri" w:cs="Calibri"/>
                <w:color w:val="000000"/>
                <w:lang w:val="et-EE" w:eastAsia="et-EE"/>
              </w:rPr>
              <w:br/>
            </w:r>
          </w:p>
        </w:tc>
        <w:tc>
          <w:tcPr>
            <w:tcW w:w="907" w:type="pct"/>
            <w:tcBorders>
              <w:top w:val="nil"/>
              <w:left w:val="nil"/>
              <w:bottom w:val="single" w:sz="4" w:space="0" w:color="auto"/>
              <w:right w:val="single" w:sz="4" w:space="0" w:color="auto"/>
            </w:tcBorders>
            <w:shd w:val="clear" w:color="auto" w:fill="auto"/>
            <w:noWrap/>
            <w:vAlign w:val="center"/>
            <w:hideMark/>
          </w:tcPr>
          <w:p w14:paraId="00AC1DDA" w14:textId="70CDB69D" w:rsidR="009D561B" w:rsidRPr="00681F8C" w:rsidRDefault="00B06992" w:rsidP="009D561B">
            <w:pPr>
              <w:spacing w:after="0" w:line="240" w:lineRule="auto"/>
              <w:rPr>
                <w:rFonts w:ascii="Calibri" w:eastAsia="Times New Roman" w:hAnsi="Calibri" w:cs="Calibri"/>
                <w:color w:val="000000"/>
                <w:lang w:val="et-EE" w:eastAsia="et-EE"/>
              </w:rPr>
            </w:pPr>
            <w:hyperlink r:id="rId68" w:history="1">
              <w:r w:rsidR="009D561B" w:rsidRPr="009D561B">
                <w:rPr>
                  <w:rStyle w:val="Hyperlink"/>
                  <w:rFonts w:ascii="Calibri" w:eastAsia="Times New Roman" w:hAnsi="Calibri" w:cs="Calibri"/>
                  <w:lang w:val="et-EE" w:eastAsia="et-EE"/>
                </w:rPr>
                <w:t>Finnish gas transmission network</w:t>
              </w:r>
            </w:hyperlink>
            <w:r w:rsidR="009D561B">
              <w:rPr>
                <w:rFonts w:ascii="Calibri" w:eastAsia="Times New Roman" w:hAnsi="Calibri" w:cs="Calibri"/>
                <w:color w:val="000000"/>
                <w:lang w:val="et-EE" w:eastAsia="et-EE"/>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14:paraId="6601D4A3" w14:textId="1301E587" w:rsidR="009D561B" w:rsidRPr="00681F8C" w:rsidRDefault="00B06992" w:rsidP="009D561B">
            <w:pPr>
              <w:spacing w:after="0" w:line="240" w:lineRule="auto"/>
              <w:rPr>
                <w:rFonts w:ascii="Calibri" w:eastAsia="Times New Roman" w:hAnsi="Calibri" w:cs="Calibri"/>
                <w:color w:val="000000"/>
                <w:lang w:val="et-EE" w:eastAsia="et-EE"/>
              </w:rPr>
            </w:pPr>
            <w:hyperlink r:id="rId69" w:history="1">
              <w:r w:rsidR="009D561B" w:rsidRPr="003D0AF9">
                <w:rPr>
                  <w:rStyle w:val="Hyperlink"/>
                  <w:rFonts w:ascii="Calibri" w:eastAsia="Times New Roman" w:hAnsi="Calibri" w:cs="Calibri"/>
                  <w:lang w:val="et-EE" w:eastAsia="et-EE"/>
                </w:rPr>
                <w:t>https://www.ambergrid.lt/en/transmission-system/gas-transmission-system-in-Lithuania</w:t>
              </w:r>
            </w:hyperlink>
          </w:p>
        </w:tc>
      </w:tr>
      <w:tr w:rsidR="009D561B" w:rsidRPr="00681F8C" w14:paraId="6106B86A" w14:textId="77777777" w:rsidTr="006A7973">
        <w:trPr>
          <w:gridAfter w:val="1"/>
          <w:wAfter w:w="799" w:type="pct"/>
          <w:trHeight w:val="3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0D46A29"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(j)</w:t>
            </w:r>
          </w:p>
        </w:tc>
        <w:tc>
          <w:tcPr>
            <w:tcW w:w="724" w:type="pct"/>
            <w:tcBorders>
              <w:top w:val="nil"/>
              <w:left w:val="nil"/>
              <w:bottom w:val="single" w:sz="4" w:space="0" w:color="auto"/>
              <w:right w:val="single" w:sz="4" w:space="0" w:color="auto"/>
            </w:tcBorders>
            <w:shd w:val="clear" w:color="auto" w:fill="auto"/>
            <w:vAlign w:val="center"/>
            <w:hideMark/>
          </w:tcPr>
          <w:p w14:paraId="0FF95AAC"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Rules applicable for connection to the system</w:t>
            </w:r>
          </w:p>
        </w:tc>
        <w:tc>
          <w:tcPr>
            <w:tcW w:w="680" w:type="pct"/>
            <w:tcBorders>
              <w:top w:val="nil"/>
              <w:left w:val="nil"/>
              <w:bottom w:val="single" w:sz="4" w:space="0" w:color="auto"/>
              <w:right w:val="single" w:sz="4" w:space="0" w:color="auto"/>
            </w:tcBorders>
            <w:shd w:val="clear" w:color="auto" w:fill="auto"/>
            <w:vAlign w:val="center"/>
            <w:hideMark/>
          </w:tcPr>
          <w:p w14:paraId="6C183FAA" w14:textId="36EB0048" w:rsidR="009D561B" w:rsidRPr="00681F8C" w:rsidRDefault="00B06992" w:rsidP="009D561B">
            <w:pPr>
              <w:spacing w:after="0" w:line="240" w:lineRule="auto"/>
              <w:rPr>
                <w:rFonts w:ascii="Calibri" w:eastAsia="Times New Roman" w:hAnsi="Calibri" w:cs="Calibri"/>
                <w:color w:val="000000"/>
                <w:lang w:val="et-EE" w:eastAsia="et-EE"/>
              </w:rPr>
            </w:pPr>
            <w:hyperlink r:id="rId70" w:history="1">
              <w:r w:rsidR="009D561B" w:rsidRPr="00681F8C">
                <w:rPr>
                  <w:rStyle w:val="Hyperlink"/>
                  <w:rFonts w:ascii="Calibri" w:eastAsia="Times New Roman" w:hAnsi="Calibri" w:cs="Calibri"/>
                  <w:lang w:val="et-EE" w:eastAsia="et-EE"/>
                </w:rPr>
                <w:t>Connections to the transmission grid</w:t>
              </w:r>
            </w:hyperlink>
          </w:p>
        </w:tc>
        <w:tc>
          <w:tcPr>
            <w:tcW w:w="862" w:type="pct"/>
            <w:tcBorders>
              <w:top w:val="nil"/>
              <w:left w:val="nil"/>
              <w:bottom w:val="single" w:sz="4" w:space="0" w:color="auto"/>
              <w:right w:val="single" w:sz="4" w:space="0" w:color="auto"/>
            </w:tcBorders>
            <w:shd w:val="clear" w:color="auto" w:fill="auto"/>
            <w:vAlign w:val="center"/>
            <w:hideMark/>
          </w:tcPr>
          <w:p w14:paraId="794F4C06" w14:textId="71661336" w:rsidR="009D561B" w:rsidRPr="00681F8C" w:rsidRDefault="00B06992" w:rsidP="009D561B">
            <w:pPr>
              <w:spacing w:after="0" w:line="240" w:lineRule="auto"/>
              <w:rPr>
                <w:rFonts w:ascii="Calibri" w:eastAsia="Times New Roman" w:hAnsi="Calibri" w:cs="Calibri"/>
                <w:color w:val="000000"/>
                <w:lang w:val="et-EE" w:eastAsia="et-EE"/>
              </w:rPr>
            </w:pPr>
            <w:hyperlink r:id="rId71" w:history="1">
              <w:r w:rsidR="009D561B" w:rsidRPr="00081E07">
                <w:rPr>
                  <w:rStyle w:val="Hyperlink"/>
                </w:rPr>
                <w:t>Grid connection rules</w:t>
              </w:r>
            </w:hyperlink>
          </w:p>
        </w:tc>
        <w:tc>
          <w:tcPr>
            <w:tcW w:w="907" w:type="pct"/>
            <w:tcBorders>
              <w:top w:val="nil"/>
              <w:left w:val="nil"/>
              <w:bottom w:val="single" w:sz="4" w:space="0" w:color="auto"/>
              <w:right w:val="single" w:sz="4" w:space="0" w:color="auto"/>
            </w:tcBorders>
            <w:shd w:val="clear" w:color="auto" w:fill="auto"/>
            <w:noWrap/>
            <w:vAlign w:val="center"/>
            <w:hideMark/>
          </w:tcPr>
          <w:p w14:paraId="55409221" w14:textId="77777777" w:rsidR="009D561B" w:rsidRDefault="00B06992" w:rsidP="009D561B">
            <w:pPr>
              <w:spacing w:after="0" w:line="240" w:lineRule="auto"/>
              <w:rPr>
                <w:rFonts w:ascii="Calibri" w:eastAsia="Times New Roman" w:hAnsi="Calibri" w:cs="Calibri"/>
                <w:color w:val="000000"/>
                <w:lang w:val="et-EE" w:eastAsia="et-EE"/>
              </w:rPr>
            </w:pPr>
            <w:hyperlink r:id="rId72" w:history="1">
              <w:r w:rsidR="009D561B" w:rsidRPr="009D561B">
                <w:rPr>
                  <w:rStyle w:val="Hyperlink"/>
                  <w:rFonts w:ascii="Calibri" w:eastAsia="Times New Roman" w:hAnsi="Calibri" w:cs="Calibri"/>
                  <w:lang w:val="et-EE" w:eastAsia="et-EE"/>
                </w:rPr>
                <w:t>Connection services</w:t>
              </w:r>
            </w:hyperlink>
          </w:p>
          <w:p w14:paraId="2235CA2B" w14:textId="77777777" w:rsidR="009D561B" w:rsidRDefault="009D561B" w:rsidP="009D561B">
            <w:pPr>
              <w:spacing w:after="0" w:line="240" w:lineRule="auto"/>
              <w:rPr>
                <w:rFonts w:ascii="Calibri" w:eastAsia="Times New Roman" w:hAnsi="Calibri" w:cs="Calibri"/>
                <w:color w:val="000000"/>
                <w:lang w:val="et-EE" w:eastAsia="et-EE"/>
              </w:rPr>
            </w:pPr>
          </w:p>
          <w:p w14:paraId="56E85A83" w14:textId="7A2F93E3" w:rsidR="009D561B" w:rsidRDefault="00B06992" w:rsidP="009D561B">
            <w:pPr>
              <w:spacing w:after="0" w:line="240" w:lineRule="auto"/>
              <w:rPr>
                <w:rFonts w:ascii="Calibri" w:eastAsia="Times New Roman" w:hAnsi="Calibri" w:cs="Calibri"/>
                <w:color w:val="000000"/>
                <w:lang w:val="et-EE" w:eastAsia="et-EE"/>
              </w:rPr>
            </w:pPr>
            <w:hyperlink r:id="rId73" w:history="1">
              <w:r w:rsidR="009D561B" w:rsidRPr="009D561B">
                <w:rPr>
                  <w:rStyle w:val="Hyperlink"/>
                  <w:rFonts w:ascii="Calibri" w:eastAsia="Times New Roman" w:hAnsi="Calibri" w:cs="Calibri"/>
                  <w:lang w:val="et-EE" w:eastAsia="et-EE"/>
                </w:rPr>
                <w:t>Terms and Conditions of Connection Service to the Transmission System</w:t>
              </w:r>
            </w:hyperlink>
          </w:p>
          <w:p w14:paraId="72247857" w14:textId="1153CCE6" w:rsidR="009D561B" w:rsidRPr="00681F8C" w:rsidRDefault="009D561B" w:rsidP="009D561B">
            <w:pPr>
              <w:spacing w:after="0" w:line="240" w:lineRule="auto"/>
              <w:rPr>
                <w:rFonts w:ascii="Calibri" w:eastAsia="Times New Roman" w:hAnsi="Calibri" w:cs="Calibri"/>
                <w:color w:val="000000"/>
                <w:lang w:val="et-EE" w:eastAsia="et-EE"/>
              </w:rPr>
            </w:pPr>
          </w:p>
        </w:tc>
        <w:tc>
          <w:tcPr>
            <w:tcW w:w="800" w:type="pct"/>
            <w:tcBorders>
              <w:top w:val="nil"/>
              <w:left w:val="nil"/>
              <w:bottom w:val="single" w:sz="4" w:space="0" w:color="auto"/>
              <w:right w:val="single" w:sz="4" w:space="0" w:color="auto"/>
            </w:tcBorders>
            <w:shd w:val="clear" w:color="auto" w:fill="auto"/>
            <w:noWrap/>
            <w:vAlign w:val="center"/>
            <w:hideMark/>
          </w:tcPr>
          <w:p w14:paraId="7C298CAD" w14:textId="7C557B8C" w:rsidR="009D561B" w:rsidRPr="00681F8C" w:rsidRDefault="00B06992" w:rsidP="009D561B">
            <w:pPr>
              <w:spacing w:after="0" w:line="240" w:lineRule="auto"/>
              <w:rPr>
                <w:rFonts w:ascii="Calibri" w:eastAsia="Times New Roman" w:hAnsi="Calibri" w:cs="Calibri"/>
                <w:color w:val="000000"/>
                <w:lang w:val="et-EE" w:eastAsia="et-EE"/>
              </w:rPr>
            </w:pPr>
            <w:hyperlink r:id="rId74" w:history="1">
              <w:r w:rsidR="009D561B" w:rsidRPr="003D0AF9">
                <w:rPr>
                  <w:rStyle w:val="Hyperlink"/>
                  <w:rFonts w:ascii="Calibri" w:eastAsia="Times New Roman" w:hAnsi="Calibri" w:cs="Calibri"/>
                  <w:lang w:val="et-EE" w:eastAsia="et-EE"/>
                </w:rPr>
                <w:t>https://www.ambergrid.lt/en/services/procedure-for-the-connection-to-Lithuanias-gas-transmission-system</w:t>
              </w:r>
            </w:hyperlink>
          </w:p>
        </w:tc>
      </w:tr>
      <w:tr w:rsidR="009D561B" w:rsidRPr="00681F8C" w14:paraId="43134D7B" w14:textId="77777777" w:rsidTr="006A7973">
        <w:trPr>
          <w:gridAfter w:val="1"/>
          <w:wAfter w:w="799" w:type="pct"/>
          <w:trHeight w:val="9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9DDA62E"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(k)</w:t>
            </w:r>
          </w:p>
        </w:tc>
        <w:tc>
          <w:tcPr>
            <w:tcW w:w="724" w:type="pct"/>
            <w:tcBorders>
              <w:top w:val="nil"/>
              <w:left w:val="nil"/>
              <w:bottom w:val="single" w:sz="4" w:space="0" w:color="auto"/>
              <w:right w:val="single" w:sz="4" w:space="0" w:color="auto"/>
            </w:tcBorders>
            <w:shd w:val="clear" w:color="auto" w:fill="auto"/>
            <w:vAlign w:val="center"/>
            <w:hideMark/>
          </w:tcPr>
          <w:p w14:paraId="273D0D3A"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Information on emergency mechanisms</w:t>
            </w:r>
          </w:p>
        </w:tc>
        <w:tc>
          <w:tcPr>
            <w:tcW w:w="680" w:type="pct"/>
            <w:tcBorders>
              <w:top w:val="nil"/>
              <w:left w:val="nil"/>
              <w:bottom w:val="single" w:sz="4" w:space="0" w:color="auto"/>
              <w:right w:val="single" w:sz="4" w:space="0" w:color="auto"/>
            </w:tcBorders>
            <w:shd w:val="clear" w:color="auto" w:fill="auto"/>
            <w:vAlign w:val="center"/>
            <w:hideMark/>
          </w:tcPr>
          <w:p w14:paraId="6C312DBA" w14:textId="4FC61A9F" w:rsidR="009D561B" w:rsidRPr="00681F8C" w:rsidRDefault="00B06992" w:rsidP="009D561B">
            <w:pPr>
              <w:spacing w:after="0" w:line="240" w:lineRule="auto"/>
              <w:rPr>
                <w:rFonts w:ascii="Calibri" w:eastAsia="Times New Roman" w:hAnsi="Calibri" w:cs="Calibri"/>
                <w:lang w:val="et-EE" w:eastAsia="et-EE"/>
              </w:rPr>
            </w:pPr>
            <w:hyperlink r:id="rId75" w:history="1">
              <w:r w:rsidR="009D561B" w:rsidRPr="00681F8C">
                <w:rPr>
                  <w:rStyle w:val="Hyperlink"/>
                  <w:rFonts w:ascii="Calibri" w:eastAsia="Times New Roman" w:hAnsi="Calibri" w:cs="Calibri"/>
                  <w:lang w:val="et-EE" w:eastAsia="et-EE"/>
                </w:rPr>
                <w:t xml:space="preserve">Preventive Action Plan and Emergency Action Plan according to Regulation (EU) No 2017/1938, concerning measures </w:t>
              </w:r>
              <w:r w:rsidR="009D561B" w:rsidRPr="00681F8C">
                <w:rPr>
                  <w:rStyle w:val="Hyperlink"/>
                  <w:rFonts w:ascii="Calibri" w:eastAsia="Times New Roman" w:hAnsi="Calibri" w:cs="Calibri"/>
                  <w:lang w:val="et-EE" w:eastAsia="et-EE"/>
                </w:rPr>
                <w:lastRenderedPageBreak/>
                <w:t>to safeguard the security of gas supply and repealing Regulation No 994/2010</w:t>
              </w:r>
            </w:hyperlink>
          </w:p>
        </w:tc>
        <w:tc>
          <w:tcPr>
            <w:tcW w:w="862" w:type="pct"/>
            <w:tcBorders>
              <w:top w:val="nil"/>
              <w:left w:val="nil"/>
              <w:bottom w:val="single" w:sz="4" w:space="0" w:color="auto"/>
              <w:right w:val="single" w:sz="4" w:space="0" w:color="auto"/>
            </w:tcBorders>
            <w:shd w:val="clear" w:color="auto" w:fill="auto"/>
            <w:vAlign w:val="center"/>
            <w:hideMark/>
          </w:tcPr>
          <w:p w14:paraId="20C7D8C9" w14:textId="77777777" w:rsidR="009D561B" w:rsidRDefault="00B06992" w:rsidP="009D561B">
            <w:pPr>
              <w:spacing w:after="0" w:line="240" w:lineRule="auto"/>
              <w:rPr>
                <w:rFonts w:ascii="Calibri" w:eastAsia="Times New Roman" w:hAnsi="Calibri" w:cs="Calibri"/>
                <w:color w:val="000000"/>
                <w:lang w:val="et-EE" w:eastAsia="et-EE"/>
              </w:rPr>
            </w:pPr>
            <w:hyperlink r:id="rId76" w:history="1">
              <w:r w:rsidR="009D561B" w:rsidRPr="007E2546">
                <w:rPr>
                  <w:rStyle w:val="Hyperlink"/>
                  <w:rFonts w:ascii="Calibri" w:eastAsia="Times New Roman" w:hAnsi="Calibri" w:cs="Calibri"/>
                  <w:lang w:val="et-EE" w:eastAsia="et-EE"/>
                </w:rPr>
                <w:t>Preventive Action Plan and Emergency Action Plan according to Regulation (EU) No 2017/1938,</w:t>
              </w:r>
            </w:hyperlink>
          </w:p>
          <w:p w14:paraId="35B43999" w14:textId="5CC9886D" w:rsidR="009D561B" w:rsidRPr="00681F8C" w:rsidRDefault="00B06992" w:rsidP="009D561B">
            <w:pPr>
              <w:spacing w:after="0" w:line="240" w:lineRule="auto"/>
              <w:rPr>
                <w:rFonts w:ascii="Calibri" w:eastAsia="Times New Roman" w:hAnsi="Calibri" w:cs="Calibri"/>
                <w:color w:val="000000"/>
                <w:lang w:val="et-EE" w:eastAsia="et-EE"/>
              </w:rPr>
            </w:pPr>
            <w:hyperlink r:id="rId77" w:history="1">
              <w:r w:rsidR="009D561B" w:rsidRPr="007E2546">
                <w:rPr>
                  <w:rStyle w:val="Hyperlink"/>
                  <w:rFonts w:ascii="Calibri" w:eastAsia="Times New Roman" w:hAnsi="Calibri" w:cs="Calibri"/>
                  <w:lang w:val="et-EE" w:eastAsia="et-EE"/>
                </w:rPr>
                <w:t xml:space="preserve">concerning measures to safeguard the security of </w:t>
              </w:r>
              <w:r w:rsidR="009D561B" w:rsidRPr="007E2546">
                <w:rPr>
                  <w:rStyle w:val="Hyperlink"/>
                  <w:rFonts w:ascii="Calibri" w:eastAsia="Times New Roman" w:hAnsi="Calibri" w:cs="Calibri"/>
                  <w:lang w:val="et-EE" w:eastAsia="et-EE"/>
                </w:rPr>
                <w:lastRenderedPageBreak/>
                <w:t>gas supply and repealing Regulation No 994/2010</w:t>
              </w:r>
            </w:hyperlink>
          </w:p>
        </w:tc>
        <w:tc>
          <w:tcPr>
            <w:tcW w:w="907" w:type="pct"/>
            <w:tcBorders>
              <w:top w:val="nil"/>
              <w:left w:val="nil"/>
              <w:bottom w:val="single" w:sz="4" w:space="0" w:color="auto"/>
              <w:right w:val="single" w:sz="4" w:space="0" w:color="auto"/>
            </w:tcBorders>
            <w:shd w:val="clear" w:color="auto" w:fill="auto"/>
            <w:noWrap/>
            <w:vAlign w:val="center"/>
            <w:hideMark/>
          </w:tcPr>
          <w:p w14:paraId="5E127454" w14:textId="1FA4B6EE" w:rsidR="009D561B" w:rsidRPr="00681F8C" w:rsidRDefault="00B06992" w:rsidP="009D561B">
            <w:pPr>
              <w:spacing w:after="0" w:line="240" w:lineRule="auto"/>
              <w:rPr>
                <w:rFonts w:ascii="Calibri" w:eastAsia="Times New Roman" w:hAnsi="Calibri" w:cs="Calibri"/>
                <w:color w:val="000000"/>
                <w:lang w:val="et-EE" w:eastAsia="et-EE"/>
              </w:rPr>
            </w:pPr>
            <w:hyperlink r:id="rId78" w:history="1">
              <w:r w:rsidR="009D561B" w:rsidRPr="009D561B">
                <w:rPr>
                  <w:rStyle w:val="Hyperlink"/>
                  <w:rFonts w:ascii="Calibri" w:eastAsia="Times New Roman" w:hAnsi="Calibri" w:cs="Calibri"/>
                  <w:lang w:val="et-EE" w:eastAsia="et-EE"/>
                </w:rPr>
                <w:t>Chapter 15 of Rules for gas Transmission</w:t>
              </w:r>
            </w:hyperlink>
          </w:p>
        </w:tc>
        <w:tc>
          <w:tcPr>
            <w:tcW w:w="800" w:type="pct"/>
            <w:tcBorders>
              <w:top w:val="nil"/>
              <w:left w:val="nil"/>
              <w:bottom w:val="single" w:sz="4" w:space="0" w:color="auto"/>
              <w:right w:val="single" w:sz="4" w:space="0" w:color="auto"/>
            </w:tcBorders>
            <w:shd w:val="clear" w:color="auto" w:fill="auto"/>
            <w:noWrap/>
            <w:vAlign w:val="center"/>
            <w:hideMark/>
          </w:tcPr>
          <w:p w14:paraId="05059AE1" w14:textId="60CA61E8" w:rsidR="009D561B" w:rsidRPr="00681F8C" w:rsidRDefault="00B06992" w:rsidP="009D561B">
            <w:pPr>
              <w:spacing w:after="0" w:line="240" w:lineRule="auto"/>
              <w:rPr>
                <w:rFonts w:ascii="Calibri" w:eastAsia="Times New Roman" w:hAnsi="Calibri" w:cs="Calibri"/>
                <w:color w:val="000000"/>
                <w:lang w:val="et-EE" w:eastAsia="et-EE"/>
              </w:rPr>
            </w:pPr>
            <w:hyperlink r:id="rId79" w:history="1">
              <w:r w:rsidR="009D561B" w:rsidRPr="003D0AF9">
                <w:rPr>
                  <w:rStyle w:val="Hyperlink"/>
                  <w:rFonts w:ascii="Calibri" w:eastAsia="Times New Roman" w:hAnsi="Calibri" w:cs="Calibri"/>
                  <w:lang w:val="et-EE" w:eastAsia="et-EE"/>
                </w:rPr>
                <w:t>https://www.ambergrid.lt/en/services/procedures-in-case-of-emergency-maintenance-services</w:t>
              </w:r>
            </w:hyperlink>
          </w:p>
        </w:tc>
      </w:tr>
      <w:tr w:rsidR="009D561B" w:rsidRPr="00681F8C" w14:paraId="20CDFC5D" w14:textId="33819E91" w:rsidTr="006A7973">
        <w:trPr>
          <w:trHeight w:val="24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69033CF" w14:textId="77777777" w:rsidR="009D561B" w:rsidRPr="00681F8C" w:rsidRDefault="009D561B" w:rsidP="009D561B">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3.1.2 (l)</w:t>
            </w:r>
          </w:p>
        </w:tc>
        <w:tc>
          <w:tcPr>
            <w:tcW w:w="724" w:type="pct"/>
            <w:tcBorders>
              <w:top w:val="nil"/>
              <w:left w:val="nil"/>
              <w:bottom w:val="single" w:sz="4" w:space="0" w:color="auto"/>
              <w:right w:val="single" w:sz="4" w:space="0" w:color="auto"/>
            </w:tcBorders>
            <w:shd w:val="clear" w:color="auto" w:fill="auto"/>
            <w:vAlign w:val="center"/>
            <w:hideMark/>
          </w:tcPr>
          <w:p w14:paraId="75207B04"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Procedures agreed upon by transmission system operators at interconnection points, of relevance for access of network users to the transmission systems concerned, relating to interoperability of the network, agreed procedures on nomination and matching procedures and other agreed procedures that set out provisions in relation to gas flow allocations and balancing, including the methods used</w:t>
            </w:r>
          </w:p>
        </w:tc>
        <w:tc>
          <w:tcPr>
            <w:tcW w:w="680" w:type="pct"/>
            <w:tcBorders>
              <w:top w:val="nil"/>
              <w:left w:val="nil"/>
              <w:bottom w:val="single" w:sz="4" w:space="0" w:color="auto"/>
              <w:right w:val="single" w:sz="4" w:space="0" w:color="auto"/>
            </w:tcBorders>
            <w:shd w:val="clear" w:color="auto" w:fill="auto"/>
            <w:vAlign w:val="center"/>
            <w:hideMark/>
          </w:tcPr>
          <w:p w14:paraId="7A1C3B17" w14:textId="2CF80E95" w:rsidR="009D561B" w:rsidRPr="00681F8C" w:rsidRDefault="00B06992" w:rsidP="009D561B">
            <w:pPr>
              <w:spacing w:after="0" w:line="240" w:lineRule="auto"/>
              <w:rPr>
                <w:rFonts w:ascii="Calibri" w:eastAsia="Times New Roman" w:hAnsi="Calibri" w:cs="Calibri"/>
                <w:lang w:val="et-EE" w:eastAsia="et-EE"/>
              </w:rPr>
            </w:pPr>
            <w:hyperlink r:id="rId80" w:history="1">
              <w:r w:rsidR="009D561B" w:rsidRPr="00681F8C">
                <w:rPr>
                  <w:rStyle w:val="Hyperlink"/>
                  <w:rFonts w:ascii="Calibri" w:eastAsia="Times New Roman" w:hAnsi="Calibri" w:cs="Calibri"/>
                  <w:lang w:val="et-EE" w:eastAsia="et-EE"/>
                </w:rPr>
                <w:t>Matching procedures</w:t>
              </w:r>
            </w:hyperlink>
            <w:r w:rsidR="009D561B" w:rsidRPr="00681F8C">
              <w:rPr>
                <w:rFonts w:ascii="Calibri" w:eastAsia="Times New Roman" w:hAnsi="Calibri" w:cs="Calibri"/>
                <w:lang w:val="et-EE" w:eastAsia="et-EE"/>
              </w:rPr>
              <w:br/>
              <w:t xml:space="preserve"> </w:t>
            </w:r>
            <w:hyperlink r:id="rId81" w:history="1">
              <w:r w:rsidR="009D561B" w:rsidRPr="00681F8C">
                <w:rPr>
                  <w:rStyle w:val="Hyperlink"/>
                  <w:rFonts w:ascii="Calibri" w:eastAsia="Times New Roman" w:hAnsi="Calibri" w:cs="Calibri"/>
                  <w:lang w:val="et-EE" w:eastAsia="et-EE"/>
                </w:rPr>
                <w:t>- Capacity allocation is defined in point (4) of Transmission Regulation</w:t>
              </w:r>
              <w:r w:rsidR="009D561B" w:rsidRPr="00681F8C">
                <w:rPr>
                  <w:rStyle w:val="Hyperlink"/>
                  <w:rFonts w:ascii="Calibri" w:eastAsia="Times New Roman" w:hAnsi="Calibri" w:cs="Calibri"/>
                  <w:lang w:val="et-EE" w:eastAsia="et-EE"/>
                </w:rPr>
                <w:br/>
                <w:t xml:space="preserve"> - Nomination and re-nomination is defined in point (7) of Transmission Regulation</w:t>
              </w:r>
              <w:r w:rsidR="009D561B" w:rsidRPr="00681F8C">
                <w:rPr>
                  <w:rStyle w:val="Hyperlink"/>
                  <w:rFonts w:ascii="Calibri" w:eastAsia="Times New Roman" w:hAnsi="Calibri" w:cs="Calibri"/>
                  <w:lang w:val="et-EE" w:eastAsia="et-EE"/>
                </w:rPr>
                <w:br/>
                <w:t xml:space="preserve"> - Allocation is defined in point (8) of Transmission Regulation</w:t>
              </w:r>
            </w:hyperlink>
          </w:p>
        </w:tc>
        <w:tc>
          <w:tcPr>
            <w:tcW w:w="862" w:type="pct"/>
            <w:tcBorders>
              <w:top w:val="nil"/>
              <w:left w:val="nil"/>
              <w:bottom w:val="single" w:sz="4" w:space="0" w:color="auto"/>
              <w:right w:val="single" w:sz="4" w:space="0" w:color="auto"/>
            </w:tcBorders>
            <w:shd w:val="clear" w:color="auto" w:fill="auto"/>
            <w:vAlign w:val="center"/>
            <w:hideMark/>
          </w:tcPr>
          <w:p w14:paraId="218487B9" w14:textId="0EFF1340" w:rsidR="009D561B" w:rsidRPr="008E318E" w:rsidRDefault="009D561B" w:rsidP="009D561B">
            <w:pPr>
              <w:spacing w:after="0" w:line="240" w:lineRule="auto"/>
              <w:rPr>
                <w:rFonts w:ascii="Calibri" w:eastAsia="Times New Roman" w:hAnsi="Calibri" w:cs="Calibri"/>
                <w:color w:val="0563C1"/>
                <w:u w:val="single"/>
                <w:lang w:val="et-EE" w:eastAsia="et-EE"/>
              </w:rPr>
            </w:pPr>
            <w:r>
              <w:fldChar w:fldCharType="begin"/>
            </w:r>
            <w:r>
              <w:instrText>HYPERLINK "https://elering.ee/en/network-service"</w:instrText>
            </w:r>
            <w:r>
              <w:fldChar w:fldCharType="separate"/>
            </w:r>
            <w:r w:rsidRPr="00681F8C">
              <w:rPr>
                <w:rFonts w:ascii="Calibri" w:eastAsia="Times New Roman" w:hAnsi="Calibri" w:cs="Calibri"/>
                <w:color w:val="0563C1"/>
                <w:u w:val="single"/>
                <w:lang w:val="et-EE" w:eastAsia="et-EE"/>
              </w:rPr>
              <w:br/>
            </w:r>
            <w:r w:rsidRPr="00681F8C">
              <w:rPr>
                <w:rFonts w:ascii="Calibri" w:eastAsia="Times New Roman" w:hAnsi="Calibri" w:cs="Calibri"/>
                <w:color w:val="0563C1"/>
                <w:u w:val="single"/>
                <w:lang w:val="et-EE" w:eastAsia="et-EE"/>
              </w:rPr>
              <w:br/>
            </w:r>
            <w:r w:rsidRPr="008E318E">
              <w:rPr>
                <w:rFonts w:ascii="Calibri" w:eastAsia="Times New Roman" w:hAnsi="Calibri" w:cs="Calibri"/>
                <w:color w:val="0563C1"/>
                <w:u w:val="single"/>
                <w:lang w:val="et-EE" w:eastAsia="et-EE"/>
              </w:rPr>
              <w:t>Matching procedures</w:t>
            </w:r>
          </w:p>
          <w:p w14:paraId="74578996" w14:textId="5EEC24DC" w:rsidR="009D561B" w:rsidRPr="008E318E" w:rsidRDefault="009D561B" w:rsidP="009D561B">
            <w:pPr>
              <w:spacing w:after="0" w:line="240" w:lineRule="auto"/>
              <w:rPr>
                <w:rFonts w:ascii="Calibri" w:eastAsia="Times New Roman" w:hAnsi="Calibri" w:cs="Calibri"/>
                <w:color w:val="0563C1"/>
                <w:u w:val="single"/>
                <w:lang w:val="et-EE" w:eastAsia="et-EE"/>
              </w:rPr>
            </w:pPr>
            <w:r w:rsidRPr="008E318E">
              <w:rPr>
                <w:rFonts w:ascii="Calibri" w:eastAsia="Times New Roman" w:hAnsi="Calibri" w:cs="Calibri"/>
                <w:color w:val="0563C1"/>
                <w:u w:val="single"/>
                <w:lang w:val="et-EE" w:eastAsia="et-EE"/>
              </w:rPr>
              <w:t>- Capacity allocation is defined in point (4) of Transmission Regulation</w:t>
            </w:r>
          </w:p>
          <w:p w14:paraId="5D464756" w14:textId="244F04C9" w:rsidR="009D561B" w:rsidRPr="008E318E" w:rsidRDefault="009D561B" w:rsidP="009D561B">
            <w:pPr>
              <w:spacing w:after="0" w:line="240" w:lineRule="auto"/>
              <w:rPr>
                <w:rFonts w:ascii="Calibri" w:eastAsia="Times New Roman" w:hAnsi="Calibri" w:cs="Calibri"/>
                <w:color w:val="0563C1"/>
                <w:u w:val="single"/>
                <w:lang w:val="et-EE" w:eastAsia="et-EE"/>
              </w:rPr>
            </w:pPr>
            <w:r w:rsidRPr="008E318E">
              <w:rPr>
                <w:rFonts w:ascii="Calibri" w:eastAsia="Times New Roman" w:hAnsi="Calibri" w:cs="Calibri"/>
                <w:color w:val="0563C1"/>
                <w:u w:val="single"/>
                <w:lang w:val="et-EE" w:eastAsia="et-EE"/>
              </w:rPr>
              <w:t>- Nomination and re-nomination is defined in point (7) of Transmission Regulation</w:t>
            </w:r>
          </w:p>
          <w:p w14:paraId="2813DE43" w14:textId="067745FA" w:rsidR="009D561B" w:rsidRPr="00681F8C" w:rsidRDefault="009D561B" w:rsidP="009D561B">
            <w:pPr>
              <w:spacing w:after="0" w:line="240" w:lineRule="auto"/>
              <w:rPr>
                <w:rFonts w:ascii="Calibri" w:eastAsia="Times New Roman" w:hAnsi="Calibri" w:cs="Calibri"/>
                <w:color w:val="0563C1"/>
                <w:u w:val="single"/>
                <w:lang w:val="et-EE" w:eastAsia="et-EE"/>
              </w:rPr>
            </w:pPr>
            <w:r w:rsidRPr="008E318E">
              <w:rPr>
                <w:rFonts w:ascii="Calibri" w:eastAsia="Times New Roman" w:hAnsi="Calibri" w:cs="Calibri"/>
                <w:color w:val="0563C1"/>
                <w:u w:val="single"/>
                <w:lang w:val="et-EE" w:eastAsia="et-EE"/>
              </w:rPr>
              <w:t>- Allocation is defined in point (8) of Transmission Regulation</w:t>
            </w:r>
            <w:r w:rsidRPr="00681F8C">
              <w:rPr>
                <w:rFonts w:ascii="Calibri" w:eastAsia="Times New Roman" w:hAnsi="Calibri" w:cs="Calibri"/>
                <w:color w:val="0563C1"/>
                <w:u w:val="single"/>
                <w:lang w:val="et-EE" w:eastAsia="et-EE"/>
              </w:rPr>
              <w:br/>
            </w:r>
            <w:r>
              <w:rPr>
                <w:rFonts w:ascii="Calibri" w:eastAsia="Times New Roman" w:hAnsi="Calibri" w:cs="Calibri"/>
                <w:color w:val="0563C1"/>
                <w:u w:val="single"/>
                <w:lang w:val="et-EE" w:eastAsia="et-EE"/>
              </w:rPr>
              <w:fldChar w:fldCharType="end"/>
            </w:r>
          </w:p>
        </w:tc>
        <w:tc>
          <w:tcPr>
            <w:tcW w:w="907" w:type="pct"/>
            <w:tcBorders>
              <w:top w:val="nil"/>
              <w:left w:val="nil"/>
              <w:bottom w:val="single" w:sz="4" w:space="0" w:color="auto"/>
              <w:right w:val="single" w:sz="4" w:space="0" w:color="auto"/>
            </w:tcBorders>
            <w:shd w:val="clear" w:color="auto" w:fill="auto"/>
            <w:noWrap/>
            <w:vAlign w:val="center"/>
            <w:hideMark/>
          </w:tcPr>
          <w:p w14:paraId="1D428264" w14:textId="27BC7CBC" w:rsidR="009D561B" w:rsidRPr="00681F8C" w:rsidRDefault="00B06992" w:rsidP="009D561B">
            <w:pPr>
              <w:spacing w:after="0" w:line="240" w:lineRule="auto"/>
              <w:rPr>
                <w:rFonts w:ascii="Calibri" w:eastAsia="Times New Roman" w:hAnsi="Calibri" w:cs="Calibri"/>
                <w:color w:val="000000"/>
                <w:lang w:val="et-EE" w:eastAsia="et-EE"/>
              </w:rPr>
            </w:pPr>
            <w:hyperlink r:id="rId82" w:history="1">
              <w:r w:rsidR="00C8278C" w:rsidRPr="00C8278C">
                <w:rPr>
                  <w:rStyle w:val="Hyperlink"/>
                  <w:rFonts w:ascii="Calibri" w:eastAsia="Times New Roman" w:hAnsi="Calibri" w:cs="Calibri"/>
                  <w:lang w:val="et-EE" w:eastAsia="et-EE"/>
                </w:rPr>
                <w:t>Chapter</w:t>
              </w:r>
              <w:r w:rsidR="00C8278C">
                <w:rPr>
                  <w:rStyle w:val="Hyperlink"/>
                  <w:rFonts w:ascii="Calibri" w:eastAsia="Times New Roman" w:hAnsi="Calibri" w:cs="Calibri"/>
                  <w:lang w:val="et-EE" w:eastAsia="et-EE"/>
                </w:rPr>
                <w:t>s</w:t>
              </w:r>
              <w:r w:rsidR="00C8278C" w:rsidRPr="00C8278C">
                <w:rPr>
                  <w:rStyle w:val="Hyperlink"/>
                  <w:rFonts w:ascii="Calibri" w:eastAsia="Times New Roman" w:hAnsi="Calibri" w:cs="Calibri"/>
                  <w:lang w:val="et-EE" w:eastAsia="et-EE"/>
                </w:rPr>
                <w:t xml:space="preserve"> 7</w:t>
              </w:r>
              <w:r w:rsidR="00C8278C">
                <w:rPr>
                  <w:rStyle w:val="Hyperlink"/>
                  <w:rFonts w:ascii="Calibri" w:eastAsia="Times New Roman" w:hAnsi="Calibri" w:cs="Calibri"/>
                  <w:lang w:val="et-EE" w:eastAsia="et-EE"/>
                </w:rPr>
                <w:t>, 8 and 9</w:t>
              </w:r>
              <w:r w:rsidR="00C8278C" w:rsidRPr="00C8278C">
                <w:rPr>
                  <w:rStyle w:val="Hyperlink"/>
                  <w:rFonts w:ascii="Calibri" w:eastAsia="Times New Roman" w:hAnsi="Calibri" w:cs="Calibri"/>
                  <w:lang w:val="et-EE" w:eastAsia="et-EE"/>
                </w:rPr>
                <w:t xml:space="preserve"> of Rules for gas Transmission</w:t>
              </w:r>
            </w:hyperlink>
          </w:p>
        </w:tc>
        <w:tc>
          <w:tcPr>
            <w:tcW w:w="800" w:type="pct"/>
            <w:tcBorders>
              <w:top w:val="nil"/>
              <w:left w:val="nil"/>
              <w:bottom w:val="single" w:sz="4" w:space="0" w:color="auto"/>
              <w:right w:val="single" w:sz="4" w:space="0" w:color="auto"/>
            </w:tcBorders>
            <w:shd w:val="clear" w:color="auto" w:fill="auto"/>
            <w:noWrap/>
            <w:vAlign w:val="center"/>
            <w:hideMark/>
          </w:tcPr>
          <w:p w14:paraId="16F87F27" w14:textId="77777777" w:rsidR="009D561B" w:rsidRDefault="00B06992" w:rsidP="009D561B">
            <w:pPr>
              <w:spacing w:after="0" w:line="240" w:lineRule="auto"/>
              <w:rPr>
                <w:rFonts w:ascii="Calibri" w:eastAsia="Times New Roman" w:hAnsi="Calibri" w:cs="Calibri"/>
                <w:color w:val="000000"/>
                <w:lang w:val="et-EE" w:eastAsia="et-EE"/>
              </w:rPr>
            </w:pPr>
            <w:hyperlink r:id="rId83" w:history="1">
              <w:r w:rsidR="009D561B" w:rsidRPr="003D0AF9">
                <w:rPr>
                  <w:rStyle w:val="Hyperlink"/>
                  <w:rFonts w:ascii="Calibri" w:eastAsia="Times New Roman" w:hAnsi="Calibri" w:cs="Calibri"/>
                  <w:lang w:val="et-EE" w:eastAsia="et-EE"/>
                </w:rPr>
                <w:t>https://www.ambergrid.lt/en/services/transmissionnetworkcode</w:t>
              </w:r>
            </w:hyperlink>
          </w:p>
          <w:p w14:paraId="1B90E5D6" w14:textId="77777777" w:rsidR="009D561B" w:rsidRPr="00681F8C" w:rsidRDefault="009D561B" w:rsidP="009D561B">
            <w:pPr>
              <w:spacing w:after="0" w:line="240" w:lineRule="auto"/>
              <w:rPr>
                <w:rFonts w:ascii="Calibri" w:eastAsia="Times New Roman" w:hAnsi="Calibri" w:cs="Calibri"/>
                <w:color w:val="000000"/>
                <w:lang w:val="et-EE" w:eastAsia="et-EE"/>
              </w:rPr>
            </w:pPr>
          </w:p>
        </w:tc>
        <w:tc>
          <w:tcPr>
            <w:tcW w:w="799" w:type="pct"/>
            <w:vAlign w:val="center"/>
          </w:tcPr>
          <w:p w14:paraId="0EACFD97" w14:textId="77777777" w:rsidR="009D561B" w:rsidRPr="00681F8C" w:rsidRDefault="009D561B" w:rsidP="009D561B">
            <w:pPr>
              <w:spacing w:after="0" w:line="240" w:lineRule="auto"/>
            </w:pPr>
          </w:p>
        </w:tc>
      </w:tr>
      <w:tr w:rsidR="009D561B" w:rsidRPr="00681F8C" w14:paraId="3A8F47E1" w14:textId="77777777" w:rsidTr="006A7973">
        <w:trPr>
          <w:gridAfter w:val="1"/>
          <w:wAfter w:w="799" w:type="pct"/>
          <w:trHeight w:val="3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1957496A"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3.1.2 (m)</w:t>
            </w:r>
          </w:p>
        </w:tc>
        <w:tc>
          <w:tcPr>
            <w:tcW w:w="724" w:type="pct"/>
            <w:tcBorders>
              <w:top w:val="nil"/>
              <w:left w:val="nil"/>
              <w:bottom w:val="single" w:sz="4" w:space="0" w:color="auto"/>
              <w:right w:val="single" w:sz="4" w:space="0" w:color="auto"/>
            </w:tcBorders>
            <w:shd w:val="clear" w:color="auto" w:fill="auto"/>
            <w:vAlign w:val="center"/>
            <w:hideMark/>
          </w:tcPr>
          <w:p w14:paraId="44A821E1"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Methodology used to calculate the technical capacity</w:t>
            </w:r>
          </w:p>
        </w:tc>
        <w:tc>
          <w:tcPr>
            <w:tcW w:w="680" w:type="pct"/>
            <w:tcBorders>
              <w:top w:val="nil"/>
              <w:left w:val="nil"/>
              <w:bottom w:val="single" w:sz="4" w:space="0" w:color="auto"/>
              <w:right w:val="single" w:sz="4" w:space="0" w:color="auto"/>
            </w:tcBorders>
            <w:shd w:val="clear" w:color="auto" w:fill="auto"/>
            <w:vAlign w:val="center"/>
            <w:hideMark/>
          </w:tcPr>
          <w:p w14:paraId="01287B53" w14:textId="6C53321B" w:rsidR="009D561B" w:rsidRPr="00681F8C" w:rsidRDefault="00B06992" w:rsidP="009D561B">
            <w:pPr>
              <w:spacing w:after="0" w:line="240" w:lineRule="auto"/>
              <w:rPr>
                <w:rFonts w:ascii="Calibri" w:eastAsia="Times New Roman" w:hAnsi="Calibri" w:cs="Calibri"/>
                <w:color w:val="000000"/>
                <w:lang w:val="et-EE" w:eastAsia="et-EE"/>
              </w:rPr>
            </w:pPr>
            <w:hyperlink r:id="rId84" w:history="1">
              <w:r w:rsidR="009D561B" w:rsidRPr="00681F8C">
                <w:rPr>
                  <w:rStyle w:val="Hyperlink"/>
                  <w:rFonts w:ascii="Calibri" w:eastAsia="Times New Roman" w:hAnsi="Calibri" w:cs="Calibri"/>
                  <w:lang w:val="et-EE" w:eastAsia="et-EE"/>
                </w:rPr>
                <w:t>Technical capacity calculation</w:t>
              </w:r>
            </w:hyperlink>
          </w:p>
        </w:tc>
        <w:tc>
          <w:tcPr>
            <w:tcW w:w="862" w:type="pct"/>
            <w:tcBorders>
              <w:top w:val="nil"/>
              <w:left w:val="nil"/>
              <w:bottom w:val="single" w:sz="4" w:space="0" w:color="auto"/>
              <w:right w:val="single" w:sz="4" w:space="0" w:color="auto"/>
            </w:tcBorders>
            <w:shd w:val="clear" w:color="auto" w:fill="auto"/>
            <w:vAlign w:val="center"/>
            <w:hideMark/>
          </w:tcPr>
          <w:p w14:paraId="090FD6AE" w14:textId="7710A158" w:rsidR="009D561B" w:rsidRPr="00681F8C" w:rsidRDefault="009D561B" w:rsidP="009D561B">
            <w:pPr>
              <w:spacing w:after="0" w:line="240" w:lineRule="auto"/>
              <w:rPr>
                <w:rFonts w:ascii="Calibri" w:eastAsia="Times New Roman" w:hAnsi="Calibri" w:cs="Calibri"/>
                <w:color w:val="0563C1"/>
                <w:u w:val="single"/>
                <w:lang w:val="et-EE" w:eastAsia="et-EE"/>
              </w:rPr>
            </w:pPr>
            <w:r w:rsidRPr="008E318E">
              <w:rPr>
                <w:rFonts w:ascii="Calibri" w:eastAsia="Times New Roman" w:hAnsi="Calibri" w:cs="Calibri"/>
                <w:lang w:val="et-EE" w:eastAsia="et-EE"/>
              </w:rPr>
              <w:t>Section Technical capacit calculation</w:t>
            </w:r>
            <w:r>
              <w:rPr>
                <w:rFonts w:ascii="Calibri" w:eastAsia="Times New Roman" w:hAnsi="Calibri" w:cs="Calibri"/>
                <w:color w:val="0563C1"/>
                <w:u w:val="single"/>
                <w:lang w:val="et-EE" w:eastAsia="et-EE"/>
              </w:rPr>
              <w:t xml:space="preserve"> </w:t>
            </w:r>
            <w:r w:rsidRPr="008E318E">
              <w:rPr>
                <w:rFonts w:ascii="Calibri" w:eastAsia="Times New Roman" w:hAnsi="Calibri" w:cs="Calibri"/>
                <w:color w:val="0563C1"/>
                <w:u w:val="single"/>
                <w:lang w:val="et-EE" w:eastAsia="et-EE"/>
              </w:rPr>
              <w:t>https://elering.ee/en/gas-system#tab0</w:t>
            </w:r>
          </w:p>
        </w:tc>
        <w:tc>
          <w:tcPr>
            <w:tcW w:w="907" w:type="pct"/>
            <w:tcBorders>
              <w:top w:val="nil"/>
              <w:left w:val="nil"/>
              <w:bottom w:val="single" w:sz="4" w:space="0" w:color="auto"/>
              <w:right w:val="single" w:sz="4" w:space="0" w:color="auto"/>
            </w:tcBorders>
            <w:shd w:val="clear" w:color="auto" w:fill="auto"/>
            <w:noWrap/>
            <w:vAlign w:val="center"/>
            <w:hideMark/>
          </w:tcPr>
          <w:p w14:paraId="3FAB752E" w14:textId="731B0420" w:rsidR="009D561B" w:rsidRPr="00CE3E71" w:rsidRDefault="00C8278C" w:rsidP="00CE3E71">
            <w:pPr>
              <w:spacing w:after="0" w:line="240" w:lineRule="auto"/>
              <w:rPr>
                <w:color w:val="000000"/>
              </w:rPr>
            </w:pPr>
            <w:r>
              <w:rPr>
                <w:rFonts w:ascii="Calibri" w:eastAsia="Times New Roman" w:hAnsi="Calibri" w:cs="Calibri"/>
                <w:color w:val="000000"/>
                <w:lang w:val="et-EE" w:eastAsia="et-EE"/>
              </w:rPr>
              <w:t>T</w:t>
            </w:r>
            <w:proofErr w:type="spellStart"/>
            <w:r>
              <w:rPr>
                <w:color w:val="000000"/>
              </w:rPr>
              <w:t>echnical</w:t>
            </w:r>
            <w:proofErr w:type="spellEnd"/>
            <w:r>
              <w:rPr>
                <w:color w:val="000000"/>
              </w:rPr>
              <w:t xml:space="preserve"> capacity is defined only at Balticconnector IP</w:t>
            </w:r>
            <w:r w:rsidR="00CE3E71">
              <w:rPr>
                <w:color w:val="000000"/>
              </w:rPr>
              <w:t xml:space="preserve">. </w:t>
            </w:r>
            <w:r>
              <w:rPr>
                <w:color w:val="000000"/>
              </w:rPr>
              <w:t xml:space="preserve">Gasgrid offers </w:t>
            </w:r>
            <w:r w:rsidRPr="00C8278C">
              <w:rPr>
                <w:color w:val="000000"/>
              </w:rPr>
              <w:t xml:space="preserve">the maximum firm capacity that </w:t>
            </w:r>
            <w:r>
              <w:rPr>
                <w:color w:val="000000"/>
              </w:rPr>
              <w:t>it</w:t>
            </w:r>
            <w:r w:rsidRPr="00C8278C">
              <w:rPr>
                <w:color w:val="000000"/>
              </w:rPr>
              <w:t xml:space="preserve"> can offer to the </w:t>
            </w:r>
            <w:r>
              <w:rPr>
                <w:color w:val="000000"/>
              </w:rPr>
              <w:t>shippers</w:t>
            </w:r>
            <w:r w:rsidRPr="00C8278C">
              <w:rPr>
                <w:color w:val="000000"/>
              </w:rPr>
              <w:t xml:space="preserve">, </w:t>
            </w:r>
            <w:proofErr w:type="gramStart"/>
            <w:r w:rsidRPr="00C8278C">
              <w:rPr>
                <w:color w:val="000000"/>
              </w:rPr>
              <w:t xml:space="preserve">taking </w:t>
            </w:r>
            <w:r w:rsidR="007B0F49">
              <w:rPr>
                <w:color w:val="000000"/>
              </w:rPr>
              <w:t xml:space="preserve">into </w:t>
            </w:r>
            <w:r w:rsidRPr="00C8278C">
              <w:rPr>
                <w:color w:val="000000"/>
              </w:rPr>
              <w:t>account</w:t>
            </w:r>
            <w:proofErr w:type="gramEnd"/>
            <w:r w:rsidRPr="00C8278C">
              <w:rPr>
                <w:color w:val="000000"/>
              </w:rPr>
              <w:t xml:space="preserve"> of system integrity </w:t>
            </w:r>
            <w:r w:rsidRPr="00C8278C">
              <w:rPr>
                <w:color w:val="000000"/>
              </w:rPr>
              <w:lastRenderedPageBreak/>
              <w:t>and the operational requirements of the transmission network</w:t>
            </w:r>
            <w:r>
              <w:rPr>
                <w:color w:val="000000"/>
              </w:rPr>
              <w:t>. In other points capacity can be booked without restrictions.</w:t>
            </w:r>
            <w:r w:rsidR="00CE3E71">
              <w:rPr>
                <w:color w:val="000000"/>
              </w:rPr>
              <w:t xml:space="preserve"> </w:t>
            </w:r>
            <w:r w:rsidR="00CE3E71" w:rsidRPr="00CE3E71">
              <w:rPr>
                <w:color w:val="000000"/>
              </w:rPr>
              <w:t>Gasgrid calculates the technical capacity by using SIMONE mode</w:t>
            </w:r>
            <w:r w:rsidR="00CE3E71">
              <w:rPr>
                <w:color w:val="000000"/>
              </w:rPr>
              <w:t>l</w:t>
            </w:r>
            <w:r w:rsidR="00CE3E71" w:rsidRPr="00CE3E71">
              <w:rPr>
                <w:color w:val="000000"/>
              </w:rPr>
              <w:t>ling software. Gasgrid applies hydraulic calculation model.</w:t>
            </w:r>
          </w:p>
        </w:tc>
        <w:tc>
          <w:tcPr>
            <w:tcW w:w="800" w:type="pct"/>
            <w:tcBorders>
              <w:top w:val="nil"/>
              <w:left w:val="nil"/>
              <w:bottom w:val="single" w:sz="4" w:space="0" w:color="auto"/>
              <w:right w:val="single" w:sz="4" w:space="0" w:color="auto"/>
            </w:tcBorders>
            <w:shd w:val="clear" w:color="auto" w:fill="auto"/>
            <w:noWrap/>
            <w:vAlign w:val="center"/>
            <w:hideMark/>
          </w:tcPr>
          <w:p w14:paraId="2FBB2BE2" w14:textId="0BFF50A9" w:rsidR="009D561B" w:rsidRPr="00681F8C" w:rsidRDefault="00B06992" w:rsidP="009D561B">
            <w:pPr>
              <w:spacing w:after="0" w:line="240" w:lineRule="auto"/>
              <w:rPr>
                <w:rFonts w:ascii="Calibri" w:eastAsia="Times New Roman" w:hAnsi="Calibri" w:cs="Calibri"/>
                <w:color w:val="000000"/>
                <w:lang w:val="et-EE" w:eastAsia="et-EE"/>
              </w:rPr>
            </w:pPr>
            <w:hyperlink r:id="rId85" w:history="1">
              <w:r w:rsidR="009D561B" w:rsidRPr="003D0AF9">
                <w:rPr>
                  <w:rStyle w:val="Hyperlink"/>
                  <w:rFonts w:ascii="Calibri" w:eastAsia="Times New Roman" w:hAnsi="Calibri" w:cs="Calibri"/>
                  <w:lang w:val="et-EE" w:eastAsia="et-EE"/>
                </w:rPr>
                <w:t>https://www.ambergrid.lt/en/services/capacity-information/calculation-of-technical-capacities</w:t>
              </w:r>
            </w:hyperlink>
          </w:p>
        </w:tc>
      </w:tr>
      <w:tr w:rsidR="009D561B" w:rsidRPr="00681F8C" w14:paraId="05B7E8A3" w14:textId="77777777" w:rsidTr="006A7973">
        <w:trPr>
          <w:gridAfter w:val="1"/>
          <w:wAfter w:w="799" w:type="pct"/>
          <w:trHeight w:val="15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5C56738"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3,3</w:t>
            </w:r>
          </w:p>
        </w:tc>
        <w:tc>
          <w:tcPr>
            <w:tcW w:w="724" w:type="pct"/>
            <w:tcBorders>
              <w:top w:val="nil"/>
              <w:left w:val="nil"/>
              <w:bottom w:val="single" w:sz="4" w:space="0" w:color="auto"/>
              <w:right w:val="single" w:sz="4" w:space="0" w:color="auto"/>
            </w:tcBorders>
            <w:shd w:val="clear" w:color="auto" w:fill="auto"/>
            <w:vAlign w:val="center"/>
            <w:hideMark/>
          </w:tcPr>
          <w:p w14:paraId="21159913"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Actual and historical information for the technical capacity, total interruptible capacity, booked and available firm and interruptible capacity. Nominations and renominations. Actual physical flows</w:t>
            </w:r>
          </w:p>
        </w:tc>
        <w:tc>
          <w:tcPr>
            <w:tcW w:w="680" w:type="pct"/>
            <w:tcBorders>
              <w:top w:val="nil"/>
              <w:left w:val="nil"/>
              <w:bottom w:val="single" w:sz="4" w:space="0" w:color="auto"/>
              <w:right w:val="single" w:sz="4" w:space="0" w:color="auto"/>
            </w:tcBorders>
            <w:shd w:val="clear" w:color="auto" w:fill="auto"/>
            <w:vAlign w:val="center"/>
            <w:hideMark/>
          </w:tcPr>
          <w:p w14:paraId="549E3D8D" w14:textId="697A8668" w:rsidR="009D561B" w:rsidRPr="00681F8C" w:rsidRDefault="009D561B" w:rsidP="009D561B">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Capacity availability</w:t>
            </w:r>
            <w:r w:rsidRPr="00681F8C">
              <w:rPr>
                <w:rFonts w:ascii="Calibri" w:eastAsia="Times New Roman" w:hAnsi="Calibri" w:cs="Calibri"/>
                <w:lang w:val="et-EE" w:eastAsia="et-EE"/>
              </w:rPr>
              <w:br/>
            </w:r>
            <w:hyperlink r:id="rId86" w:history="1">
              <w:r w:rsidRPr="00681F8C">
                <w:rPr>
                  <w:rStyle w:val="Hyperlink"/>
                  <w:rFonts w:ascii="Calibri" w:eastAsia="Times New Roman" w:hAnsi="Calibri" w:cs="Calibri"/>
                  <w:lang w:val="et-EE" w:eastAsia="et-EE"/>
                </w:rPr>
                <w:t>Nominations</w:t>
              </w:r>
            </w:hyperlink>
            <w:r w:rsidRPr="00681F8C">
              <w:rPr>
                <w:rFonts w:ascii="Calibri" w:eastAsia="Times New Roman" w:hAnsi="Calibri" w:cs="Calibri"/>
                <w:lang w:val="et-EE" w:eastAsia="et-EE"/>
              </w:rPr>
              <w:t xml:space="preserve"> and </w:t>
            </w:r>
            <w:hyperlink r:id="rId87" w:history="1">
              <w:r w:rsidRPr="00681F8C">
                <w:rPr>
                  <w:rStyle w:val="Hyperlink"/>
                  <w:rFonts w:ascii="Calibri" w:eastAsia="Times New Roman" w:hAnsi="Calibri" w:cs="Calibri"/>
                  <w:lang w:val="et-EE" w:eastAsia="et-EE"/>
                </w:rPr>
                <w:t>Allocations</w:t>
              </w:r>
            </w:hyperlink>
            <w:r w:rsidRPr="00681F8C">
              <w:rPr>
                <w:rFonts w:ascii="Calibri" w:eastAsia="Times New Roman" w:hAnsi="Calibri" w:cs="Calibri"/>
                <w:lang w:val="et-EE" w:eastAsia="et-EE"/>
              </w:rPr>
              <w:br/>
            </w:r>
            <w:hyperlink r:id="rId88" w:history="1">
              <w:r w:rsidRPr="00681F8C">
                <w:rPr>
                  <w:rStyle w:val="Hyperlink"/>
                  <w:rFonts w:ascii="Calibri" w:eastAsia="Times New Roman" w:hAnsi="Calibri" w:cs="Calibri"/>
                  <w:lang w:val="et-EE" w:eastAsia="et-EE"/>
                </w:rPr>
                <w:t>Physical flows</w:t>
              </w:r>
            </w:hyperlink>
            <w:r w:rsidRPr="00681F8C">
              <w:rPr>
                <w:rFonts w:ascii="Calibri" w:eastAsia="Times New Roman" w:hAnsi="Calibri" w:cs="Calibri"/>
                <w:lang w:val="et-EE" w:eastAsia="et-EE"/>
              </w:rPr>
              <w:br/>
              <w:t xml:space="preserve">The information is also published on </w:t>
            </w:r>
            <w:hyperlink r:id="rId89" w:anchor="/map" w:history="1">
              <w:r w:rsidRPr="00681F8C">
                <w:rPr>
                  <w:rStyle w:val="Hyperlink"/>
                  <w:rFonts w:ascii="Calibri" w:eastAsia="Times New Roman" w:hAnsi="Calibri" w:cs="Calibri"/>
                  <w:lang w:val="et-EE" w:eastAsia="et-EE"/>
                </w:rPr>
                <w:t>ENTSOG Transparency Platform</w:t>
              </w:r>
            </w:hyperlink>
            <w:r w:rsidRPr="00681F8C">
              <w:rPr>
                <w:rFonts w:ascii="Calibri" w:eastAsia="Times New Roman" w:hAnsi="Calibri" w:cs="Calibri"/>
                <w:lang w:val="et-EE" w:eastAsia="et-EE"/>
              </w:rPr>
              <w:t xml:space="preserve"> </w:t>
            </w:r>
            <w:r w:rsidRPr="00681F8C">
              <w:rPr>
                <w:rFonts w:ascii="Calibri" w:eastAsia="Times New Roman" w:hAnsi="Calibri" w:cs="Calibri"/>
                <w:lang w:val="et-EE" w:eastAsia="et-EE"/>
              </w:rPr>
              <w:br/>
            </w:r>
            <w:hyperlink r:id="rId90" w:history="1">
              <w:r w:rsidRPr="00681F8C">
                <w:rPr>
                  <w:rStyle w:val="Hyperlink"/>
                  <w:rFonts w:ascii="Calibri" w:eastAsia="Times New Roman" w:hAnsi="Calibri" w:cs="Calibri"/>
                  <w:lang w:val="et-EE" w:eastAsia="et-EE"/>
                </w:rPr>
                <w:t>Historical transmission data up to 2nd April of 2017</w:t>
              </w:r>
            </w:hyperlink>
          </w:p>
        </w:tc>
        <w:tc>
          <w:tcPr>
            <w:tcW w:w="862" w:type="pct"/>
            <w:tcBorders>
              <w:top w:val="nil"/>
              <w:left w:val="nil"/>
              <w:bottom w:val="single" w:sz="4" w:space="0" w:color="auto"/>
              <w:right w:val="single" w:sz="4" w:space="0" w:color="auto"/>
            </w:tcBorders>
            <w:shd w:val="clear" w:color="auto" w:fill="auto"/>
            <w:vAlign w:val="center"/>
            <w:hideMark/>
          </w:tcPr>
          <w:p w14:paraId="55AC2748" w14:textId="302D35CF" w:rsidR="009D561B" w:rsidRPr="00681F8C" w:rsidRDefault="009D561B" w:rsidP="009D561B">
            <w:pPr>
              <w:spacing w:after="0" w:line="240" w:lineRule="auto"/>
              <w:rPr>
                <w:rFonts w:ascii="Calibri" w:eastAsia="Times New Roman" w:hAnsi="Calibri" w:cs="Calibri"/>
                <w:color w:val="000000"/>
                <w:lang w:val="et-EE" w:eastAsia="et-EE"/>
              </w:rPr>
            </w:pPr>
            <w:r>
              <w:t xml:space="preserve">Capacity, Nomination, Allocations and Physical transfer information available at </w:t>
            </w:r>
            <w:hyperlink r:id="rId91" w:history="1">
              <w:r w:rsidRPr="008E318E">
                <w:rPr>
                  <w:rStyle w:val="Hyperlink"/>
                </w:rPr>
                <w:t>ENTSO-G</w:t>
              </w:r>
            </w:hyperlink>
            <w:r>
              <w:t xml:space="preserve"> and </w:t>
            </w:r>
            <w:hyperlink r:id="rId92" w:history="1">
              <w:r w:rsidRPr="008E318E">
                <w:rPr>
                  <w:rStyle w:val="Hyperlink"/>
                </w:rPr>
                <w:t>Elering Live</w:t>
              </w:r>
            </w:hyperlink>
            <w:hyperlink r:id="rId93" w:history="1">
              <w:r w:rsidRPr="00681F8C">
                <w:rPr>
                  <w:rFonts w:ascii="Calibri" w:eastAsia="Times New Roman" w:hAnsi="Calibri" w:cs="Calibri"/>
                  <w:color w:val="000000"/>
                  <w:lang w:val="et-EE" w:eastAsia="et-EE"/>
                </w:rPr>
                <w:br/>
              </w:r>
              <w:r w:rsidRPr="00681F8C">
                <w:rPr>
                  <w:rFonts w:ascii="Calibri" w:eastAsia="Times New Roman" w:hAnsi="Calibri" w:cs="Calibri"/>
                  <w:color w:val="000000"/>
                  <w:lang w:val="et-EE" w:eastAsia="et-EE"/>
                </w:rPr>
                <w:br/>
              </w:r>
              <w:r w:rsidRPr="00681F8C">
                <w:rPr>
                  <w:rFonts w:ascii="Calibri" w:eastAsia="Times New Roman" w:hAnsi="Calibri" w:cs="Calibri"/>
                  <w:color w:val="000000"/>
                  <w:lang w:val="et-EE" w:eastAsia="et-EE"/>
                </w:rPr>
                <w:br/>
              </w:r>
              <w:r w:rsidRPr="00681F8C">
                <w:rPr>
                  <w:rFonts w:ascii="Calibri" w:eastAsia="Times New Roman" w:hAnsi="Calibri" w:cs="Calibri"/>
                  <w:color w:val="000000"/>
                  <w:lang w:val="et-EE" w:eastAsia="et-EE"/>
                </w:rPr>
                <w:br/>
              </w:r>
            </w:hyperlink>
          </w:p>
        </w:tc>
        <w:tc>
          <w:tcPr>
            <w:tcW w:w="907" w:type="pct"/>
            <w:tcBorders>
              <w:top w:val="nil"/>
              <w:left w:val="nil"/>
              <w:bottom w:val="single" w:sz="4" w:space="0" w:color="auto"/>
              <w:right w:val="single" w:sz="4" w:space="0" w:color="auto"/>
            </w:tcBorders>
            <w:shd w:val="clear" w:color="auto" w:fill="auto"/>
            <w:noWrap/>
            <w:vAlign w:val="center"/>
            <w:hideMark/>
          </w:tcPr>
          <w:p w14:paraId="486BE5EC" w14:textId="16F3B4BC" w:rsidR="009D561B" w:rsidRPr="00681F8C" w:rsidRDefault="00B06992" w:rsidP="009D561B">
            <w:pPr>
              <w:spacing w:after="0" w:line="240" w:lineRule="auto"/>
              <w:rPr>
                <w:rFonts w:ascii="Calibri" w:eastAsia="Times New Roman" w:hAnsi="Calibri" w:cs="Calibri"/>
                <w:color w:val="000000"/>
                <w:lang w:val="et-EE" w:eastAsia="et-EE"/>
              </w:rPr>
            </w:pPr>
            <w:hyperlink r:id="rId94" w:history="1">
              <w:r w:rsidR="00C8278C" w:rsidRPr="00C8278C">
                <w:rPr>
                  <w:rStyle w:val="Hyperlink"/>
                  <w:rFonts w:ascii="Calibri" w:eastAsia="Times New Roman" w:hAnsi="Calibri" w:cs="Calibri"/>
                  <w:lang w:val="et-EE" w:eastAsia="et-EE"/>
                </w:rPr>
                <w:t>ENTSOG Transparency Platform</w:t>
              </w:r>
            </w:hyperlink>
          </w:p>
        </w:tc>
        <w:tc>
          <w:tcPr>
            <w:tcW w:w="800" w:type="pct"/>
            <w:tcBorders>
              <w:top w:val="nil"/>
              <w:left w:val="nil"/>
              <w:bottom w:val="single" w:sz="4" w:space="0" w:color="auto"/>
              <w:right w:val="single" w:sz="4" w:space="0" w:color="auto"/>
            </w:tcBorders>
            <w:shd w:val="clear" w:color="auto" w:fill="auto"/>
            <w:noWrap/>
            <w:vAlign w:val="center"/>
            <w:hideMark/>
          </w:tcPr>
          <w:p w14:paraId="6E6076BB" w14:textId="42154A25" w:rsidR="009D561B" w:rsidRPr="00681F8C" w:rsidRDefault="00B06992" w:rsidP="009D561B">
            <w:pPr>
              <w:spacing w:after="0" w:line="240" w:lineRule="auto"/>
              <w:rPr>
                <w:rFonts w:ascii="Calibri" w:eastAsia="Times New Roman" w:hAnsi="Calibri" w:cs="Calibri"/>
                <w:color w:val="000000"/>
                <w:lang w:val="et-EE" w:eastAsia="et-EE"/>
              </w:rPr>
            </w:pPr>
            <w:hyperlink r:id="rId95" w:history="1">
              <w:r w:rsidR="009D561B" w:rsidRPr="003D0AF9">
                <w:rPr>
                  <w:rStyle w:val="Hyperlink"/>
                  <w:rFonts w:ascii="Calibri" w:eastAsia="Times New Roman" w:hAnsi="Calibri" w:cs="Calibri"/>
                  <w:lang w:val="et-EE" w:eastAsia="et-EE"/>
                </w:rPr>
                <w:t>https://www.ambergrid.lt/en/services/capacity-information/capacity-and-gas-flow-data</w:t>
              </w:r>
            </w:hyperlink>
          </w:p>
        </w:tc>
      </w:tr>
      <w:tr w:rsidR="009D561B" w:rsidRPr="00681F8C" w14:paraId="3A7C7B57"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7B645CB3"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3.3 (4)</w:t>
            </w:r>
          </w:p>
        </w:tc>
        <w:tc>
          <w:tcPr>
            <w:tcW w:w="724" w:type="pct"/>
            <w:tcBorders>
              <w:top w:val="nil"/>
              <w:left w:val="nil"/>
              <w:bottom w:val="single" w:sz="4" w:space="0" w:color="auto"/>
              <w:right w:val="single" w:sz="4" w:space="0" w:color="auto"/>
            </w:tcBorders>
            <w:shd w:val="clear" w:color="auto" w:fill="auto"/>
            <w:vAlign w:val="center"/>
            <w:hideMark/>
          </w:tcPr>
          <w:p w14:paraId="544534AA"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Measured values of the gross calorific value and the Wobbe index</w:t>
            </w:r>
          </w:p>
        </w:tc>
        <w:tc>
          <w:tcPr>
            <w:tcW w:w="680" w:type="pct"/>
            <w:tcBorders>
              <w:top w:val="nil"/>
              <w:left w:val="nil"/>
              <w:bottom w:val="single" w:sz="4" w:space="0" w:color="auto"/>
              <w:right w:val="single" w:sz="4" w:space="0" w:color="auto"/>
            </w:tcBorders>
            <w:shd w:val="clear" w:color="auto" w:fill="auto"/>
            <w:vAlign w:val="center"/>
            <w:hideMark/>
          </w:tcPr>
          <w:p w14:paraId="7E023E7D" w14:textId="58D7C160" w:rsidR="009D561B" w:rsidRPr="00681F8C" w:rsidRDefault="00B06992" w:rsidP="009D561B">
            <w:pPr>
              <w:spacing w:after="0" w:line="240" w:lineRule="auto"/>
              <w:rPr>
                <w:rFonts w:ascii="Calibri" w:eastAsia="Times New Roman" w:hAnsi="Calibri" w:cs="Calibri"/>
                <w:color w:val="000000"/>
                <w:lang w:val="et-EE" w:eastAsia="et-EE"/>
              </w:rPr>
            </w:pPr>
            <w:hyperlink r:id="rId96" w:history="1">
              <w:r w:rsidR="009D561B" w:rsidRPr="00681F8C">
                <w:rPr>
                  <w:rStyle w:val="Hyperlink"/>
                  <w:rFonts w:ascii="Calibri" w:eastAsia="Times New Roman" w:hAnsi="Calibri" w:cs="Calibri"/>
                  <w:lang w:val="et-EE" w:eastAsia="et-EE"/>
                </w:rPr>
                <w:t>Natural gas quality parameters</w:t>
              </w:r>
            </w:hyperlink>
          </w:p>
        </w:tc>
        <w:tc>
          <w:tcPr>
            <w:tcW w:w="862" w:type="pct"/>
            <w:tcBorders>
              <w:top w:val="nil"/>
              <w:left w:val="nil"/>
              <w:bottom w:val="single" w:sz="4" w:space="0" w:color="auto"/>
              <w:right w:val="single" w:sz="4" w:space="0" w:color="auto"/>
            </w:tcBorders>
            <w:shd w:val="clear" w:color="auto" w:fill="auto"/>
            <w:vAlign w:val="center"/>
            <w:hideMark/>
          </w:tcPr>
          <w:p w14:paraId="37242E5B" w14:textId="1A9C8E87" w:rsidR="009D561B" w:rsidRPr="00681F8C" w:rsidRDefault="009D561B" w:rsidP="009D561B">
            <w:pPr>
              <w:spacing w:after="0" w:line="240" w:lineRule="auto"/>
              <w:rPr>
                <w:rFonts w:ascii="Calibri" w:eastAsia="Times New Roman" w:hAnsi="Calibri" w:cs="Calibri"/>
                <w:color w:val="0563C1"/>
                <w:u w:val="single"/>
                <w:lang w:val="et-EE" w:eastAsia="et-EE"/>
              </w:rPr>
            </w:pPr>
            <w:r>
              <w:t xml:space="preserve">Gas Quality parameters available at </w:t>
            </w:r>
            <w:hyperlink r:id="rId97" w:history="1">
              <w:r w:rsidRPr="008E318E">
                <w:rPr>
                  <w:rStyle w:val="Hyperlink"/>
                </w:rPr>
                <w:t>ENTSO-G</w:t>
              </w:r>
            </w:hyperlink>
            <w:r>
              <w:t xml:space="preserve"> and </w:t>
            </w:r>
            <w:hyperlink r:id="rId98" w:history="1">
              <w:r w:rsidRPr="008E318E">
                <w:rPr>
                  <w:rStyle w:val="Hyperlink"/>
                </w:rPr>
                <w:t>Elering Live</w:t>
              </w:r>
            </w:hyperlink>
          </w:p>
        </w:tc>
        <w:tc>
          <w:tcPr>
            <w:tcW w:w="907" w:type="pct"/>
            <w:tcBorders>
              <w:top w:val="nil"/>
              <w:left w:val="nil"/>
              <w:bottom w:val="single" w:sz="4" w:space="0" w:color="auto"/>
              <w:right w:val="single" w:sz="4" w:space="0" w:color="auto"/>
            </w:tcBorders>
            <w:shd w:val="clear" w:color="auto" w:fill="auto"/>
            <w:noWrap/>
            <w:vAlign w:val="center"/>
            <w:hideMark/>
          </w:tcPr>
          <w:p w14:paraId="02133719" w14:textId="6D5B7A7F" w:rsidR="009D561B" w:rsidRPr="00681F8C" w:rsidRDefault="00B06992" w:rsidP="009D561B">
            <w:pPr>
              <w:spacing w:after="0" w:line="240" w:lineRule="auto"/>
              <w:rPr>
                <w:rFonts w:ascii="Calibri" w:eastAsia="Times New Roman" w:hAnsi="Calibri" w:cs="Calibri"/>
                <w:color w:val="000000"/>
                <w:lang w:val="et-EE" w:eastAsia="et-EE"/>
              </w:rPr>
            </w:pPr>
            <w:hyperlink r:id="rId99" w:history="1">
              <w:r w:rsidR="00FC2D9C" w:rsidRPr="00C8278C">
                <w:rPr>
                  <w:rStyle w:val="Hyperlink"/>
                  <w:rFonts w:ascii="Calibri" w:eastAsia="Times New Roman" w:hAnsi="Calibri" w:cs="Calibri"/>
                  <w:lang w:val="et-EE" w:eastAsia="et-EE"/>
                </w:rPr>
                <w:t>ENTSOG Transparency Platform</w:t>
              </w:r>
            </w:hyperlink>
          </w:p>
        </w:tc>
        <w:tc>
          <w:tcPr>
            <w:tcW w:w="800" w:type="pct"/>
            <w:tcBorders>
              <w:top w:val="nil"/>
              <w:left w:val="nil"/>
              <w:bottom w:val="single" w:sz="4" w:space="0" w:color="auto"/>
              <w:right w:val="single" w:sz="4" w:space="0" w:color="auto"/>
            </w:tcBorders>
            <w:shd w:val="clear" w:color="auto" w:fill="auto"/>
            <w:noWrap/>
            <w:vAlign w:val="center"/>
            <w:hideMark/>
          </w:tcPr>
          <w:p w14:paraId="36356BFC" w14:textId="2FA46C57" w:rsidR="009D561B" w:rsidRPr="00681F8C" w:rsidRDefault="00B06992" w:rsidP="009D561B">
            <w:pPr>
              <w:spacing w:after="0" w:line="240" w:lineRule="auto"/>
              <w:rPr>
                <w:rFonts w:ascii="Calibri" w:eastAsia="Times New Roman" w:hAnsi="Calibri" w:cs="Calibri"/>
                <w:color w:val="000000"/>
                <w:lang w:val="et-EE" w:eastAsia="et-EE"/>
              </w:rPr>
            </w:pPr>
            <w:hyperlink r:id="rId100" w:history="1">
              <w:r w:rsidR="009D561B" w:rsidRPr="003D0AF9">
                <w:rPr>
                  <w:rStyle w:val="Hyperlink"/>
                  <w:rFonts w:ascii="Calibri" w:eastAsia="Times New Roman" w:hAnsi="Calibri" w:cs="Calibri"/>
                  <w:lang w:val="et-EE" w:eastAsia="et-EE"/>
                </w:rPr>
                <w:t>https://www.ambergrid.lt/en/services/gas-calendar</w:t>
              </w:r>
            </w:hyperlink>
          </w:p>
        </w:tc>
      </w:tr>
      <w:tr w:rsidR="009D561B" w:rsidRPr="00681F8C" w14:paraId="1C0FE906" w14:textId="77777777" w:rsidTr="006A7973">
        <w:trPr>
          <w:gridAfter w:val="1"/>
          <w:wAfter w:w="799" w:type="pct"/>
          <w:trHeight w:val="9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4948C73"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3.3 (1) (f-g)</w:t>
            </w:r>
          </w:p>
        </w:tc>
        <w:tc>
          <w:tcPr>
            <w:tcW w:w="724" w:type="pct"/>
            <w:tcBorders>
              <w:top w:val="nil"/>
              <w:left w:val="nil"/>
              <w:bottom w:val="single" w:sz="4" w:space="0" w:color="auto"/>
              <w:right w:val="single" w:sz="4" w:space="0" w:color="auto"/>
            </w:tcBorders>
            <w:shd w:val="clear" w:color="auto" w:fill="auto"/>
            <w:vAlign w:val="center"/>
            <w:hideMark/>
          </w:tcPr>
          <w:p w14:paraId="61DCFB6E"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Interruptions information</w:t>
            </w:r>
          </w:p>
        </w:tc>
        <w:tc>
          <w:tcPr>
            <w:tcW w:w="680" w:type="pct"/>
            <w:tcBorders>
              <w:top w:val="nil"/>
              <w:left w:val="nil"/>
              <w:bottom w:val="single" w:sz="4" w:space="0" w:color="auto"/>
              <w:right w:val="single" w:sz="4" w:space="0" w:color="auto"/>
            </w:tcBorders>
            <w:shd w:val="clear" w:color="auto" w:fill="auto"/>
            <w:vAlign w:val="center"/>
            <w:hideMark/>
          </w:tcPr>
          <w:p w14:paraId="75A69B20" w14:textId="7C06B729" w:rsidR="009D561B" w:rsidRPr="00681F8C" w:rsidRDefault="00B06992" w:rsidP="009D561B">
            <w:pPr>
              <w:spacing w:after="0" w:line="240" w:lineRule="auto"/>
              <w:rPr>
                <w:rFonts w:ascii="Calibri" w:eastAsia="Times New Roman" w:hAnsi="Calibri" w:cs="Calibri"/>
                <w:lang w:val="et-EE" w:eastAsia="et-EE"/>
              </w:rPr>
            </w:pPr>
            <w:hyperlink r:id="rId101" w:history="1">
              <w:r w:rsidR="009D561B" w:rsidRPr="00681F8C">
                <w:rPr>
                  <w:rStyle w:val="Hyperlink"/>
                  <w:rFonts w:ascii="Calibri" w:eastAsia="Times New Roman" w:hAnsi="Calibri" w:cs="Calibri"/>
                  <w:lang w:val="et-EE" w:eastAsia="et-EE"/>
                </w:rPr>
                <w:t>Plan of the maintenance works</w:t>
              </w:r>
            </w:hyperlink>
            <w:r w:rsidR="009D561B" w:rsidRPr="00681F8C">
              <w:rPr>
                <w:rFonts w:ascii="Calibri" w:eastAsia="Times New Roman" w:hAnsi="Calibri" w:cs="Calibri"/>
                <w:lang w:val="et-EE" w:eastAsia="et-EE"/>
              </w:rPr>
              <w:br/>
            </w:r>
            <w:hyperlink r:id="rId102" w:history="1">
              <w:r w:rsidR="009D561B" w:rsidRPr="00681F8C">
                <w:rPr>
                  <w:rStyle w:val="Hyperlink"/>
                  <w:rFonts w:ascii="Calibri" w:eastAsia="Times New Roman" w:hAnsi="Calibri" w:cs="Calibri"/>
                  <w:lang w:val="et-EE" w:eastAsia="et-EE"/>
                </w:rPr>
                <w:t>Urgent market messages (GET Baltic Platform)</w:t>
              </w:r>
            </w:hyperlink>
            <w:r w:rsidR="009D561B" w:rsidRPr="00681F8C">
              <w:rPr>
                <w:rFonts w:ascii="Calibri" w:eastAsia="Times New Roman" w:hAnsi="Calibri" w:cs="Calibri"/>
                <w:lang w:val="et-EE" w:eastAsia="et-EE"/>
              </w:rPr>
              <w:br/>
            </w:r>
            <w:hyperlink r:id="rId103" w:anchor="/umm/unavailabilitiesgasfacilities" w:history="1">
              <w:r w:rsidR="009D561B" w:rsidRPr="00681F8C">
                <w:rPr>
                  <w:rStyle w:val="Hyperlink"/>
                  <w:rFonts w:ascii="Calibri" w:eastAsia="Times New Roman" w:hAnsi="Calibri" w:cs="Calibri"/>
                  <w:lang w:val="et-EE" w:eastAsia="et-EE"/>
                </w:rPr>
                <w:t xml:space="preserve">Urgent market </w:t>
              </w:r>
              <w:r w:rsidR="009D561B" w:rsidRPr="00681F8C">
                <w:rPr>
                  <w:rStyle w:val="Hyperlink"/>
                  <w:rFonts w:ascii="Calibri" w:eastAsia="Times New Roman" w:hAnsi="Calibri" w:cs="Calibri"/>
                  <w:lang w:val="et-EE" w:eastAsia="et-EE"/>
                </w:rPr>
                <w:lastRenderedPageBreak/>
                <w:t>messages (ENTSOG Transparency Platform)</w:t>
              </w:r>
            </w:hyperlink>
          </w:p>
        </w:tc>
        <w:tc>
          <w:tcPr>
            <w:tcW w:w="862" w:type="pct"/>
            <w:tcBorders>
              <w:top w:val="nil"/>
              <w:left w:val="nil"/>
              <w:bottom w:val="single" w:sz="4" w:space="0" w:color="auto"/>
              <w:right w:val="single" w:sz="4" w:space="0" w:color="auto"/>
            </w:tcBorders>
            <w:shd w:val="clear" w:color="auto" w:fill="auto"/>
            <w:vAlign w:val="center"/>
            <w:hideMark/>
          </w:tcPr>
          <w:p w14:paraId="139A179C" w14:textId="78760DC5"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lastRenderedPageBreak/>
              <w:br/>
            </w:r>
            <w:r w:rsidRPr="00681F8C">
              <w:rPr>
                <w:rFonts w:ascii="Calibri" w:eastAsia="Times New Roman" w:hAnsi="Calibri" w:cs="Calibri"/>
                <w:color w:val="000000"/>
                <w:lang w:val="et-EE" w:eastAsia="et-EE"/>
              </w:rPr>
              <w:br/>
            </w:r>
            <w:hyperlink r:id="rId104" w:history="1">
              <w:r w:rsidRPr="00681F8C">
                <w:rPr>
                  <w:rStyle w:val="Hyperlink"/>
                  <w:rFonts w:ascii="Calibri" w:eastAsia="Times New Roman" w:hAnsi="Calibri" w:cs="Calibri"/>
                  <w:lang w:val="et-EE" w:eastAsia="et-EE"/>
                </w:rPr>
                <w:t>Plan of the maintenance works</w:t>
              </w:r>
            </w:hyperlink>
            <w:r w:rsidRPr="00681F8C">
              <w:rPr>
                <w:rFonts w:ascii="Calibri" w:eastAsia="Times New Roman" w:hAnsi="Calibri" w:cs="Calibri"/>
                <w:lang w:val="et-EE" w:eastAsia="et-EE"/>
              </w:rPr>
              <w:br/>
            </w:r>
            <w:hyperlink r:id="rId105" w:history="1">
              <w:r w:rsidRPr="00681F8C">
                <w:rPr>
                  <w:rStyle w:val="Hyperlink"/>
                  <w:rFonts w:ascii="Calibri" w:eastAsia="Times New Roman" w:hAnsi="Calibri" w:cs="Calibri"/>
                  <w:lang w:val="et-EE" w:eastAsia="et-EE"/>
                </w:rPr>
                <w:t>Urgent market messages (GET Baltic Platform)</w:t>
              </w:r>
            </w:hyperlink>
          </w:p>
        </w:tc>
        <w:tc>
          <w:tcPr>
            <w:tcW w:w="907" w:type="pct"/>
            <w:tcBorders>
              <w:top w:val="nil"/>
              <w:left w:val="nil"/>
              <w:bottom w:val="single" w:sz="4" w:space="0" w:color="auto"/>
              <w:right w:val="single" w:sz="4" w:space="0" w:color="auto"/>
            </w:tcBorders>
            <w:shd w:val="clear" w:color="auto" w:fill="auto"/>
            <w:noWrap/>
            <w:vAlign w:val="center"/>
            <w:hideMark/>
          </w:tcPr>
          <w:p w14:paraId="66F96A0F" w14:textId="77777777" w:rsidR="009D561B" w:rsidRDefault="00B06992" w:rsidP="009D561B">
            <w:pPr>
              <w:spacing w:after="0" w:line="240" w:lineRule="auto"/>
              <w:rPr>
                <w:rFonts w:ascii="Calibri" w:eastAsia="Times New Roman" w:hAnsi="Calibri" w:cs="Calibri"/>
                <w:color w:val="000000"/>
                <w:lang w:val="et-EE" w:eastAsia="et-EE"/>
              </w:rPr>
            </w:pPr>
            <w:hyperlink r:id="rId106" w:history="1">
              <w:r w:rsidR="00FC2D9C" w:rsidRPr="00FC2D9C">
                <w:rPr>
                  <w:rStyle w:val="Hyperlink"/>
                  <w:rFonts w:ascii="Calibri" w:eastAsia="Times New Roman" w:hAnsi="Calibri" w:cs="Calibri"/>
                  <w:lang w:val="et-EE" w:eastAsia="et-EE"/>
                </w:rPr>
                <w:t>Urgent market messages</w:t>
              </w:r>
            </w:hyperlink>
          </w:p>
          <w:p w14:paraId="45B5B121" w14:textId="77777777" w:rsidR="00FC2D9C" w:rsidRDefault="00FC2D9C" w:rsidP="009D561B">
            <w:pPr>
              <w:spacing w:after="0" w:line="240" w:lineRule="auto"/>
              <w:rPr>
                <w:rFonts w:ascii="Calibri" w:eastAsia="Times New Roman" w:hAnsi="Calibri" w:cs="Calibri"/>
                <w:color w:val="000000"/>
                <w:lang w:val="et-EE" w:eastAsia="et-EE"/>
              </w:rPr>
            </w:pPr>
          </w:p>
          <w:p w14:paraId="19886E40" w14:textId="53445DE0" w:rsidR="00FC2D9C" w:rsidRPr="00681F8C" w:rsidRDefault="00B06992" w:rsidP="009D561B">
            <w:pPr>
              <w:spacing w:after="0" w:line="240" w:lineRule="auto"/>
              <w:rPr>
                <w:rFonts w:ascii="Calibri" w:eastAsia="Times New Roman" w:hAnsi="Calibri" w:cs="Calibri"/>
                <w:color w:val="000000"/>
                <w:lang w:val="et-EE" w:eastAsia="et-EE"/>
              </w:rPr>
            </w:pPr>
            <w:hyperlink r:id="rId107" w:history="1">
              <w:r w:rsidR="00FC2D9C" w:rsidRPr="00FC2D9C">
                <w:rPr>
                  <w:rStyle w:val="Hyperlink"/>
                  <w:rFonts w:ascii="Calibri" w:eastAsia="Times New Roman" w:hAnsi="Calibri" w:cs="Calibri"/>
                  <w:lang w:val="et-EE" w:eastAsia="et-EE"/>
                </w:rPr>
                <w:t>Rules for gas Transmission (chapter 12)</w:t>
              </w:r>
            </w:hyperlink>
          </w:p>
        </w:tc>
        <w:tc>
          <w:tcPr>
            <w:tcW w:w="800" w:type="pct"/>
            <w:tcBorders>
              <w:top w:val="nil"/>
              <w:left w:val="nil"/>
              <w:bottom w:val="single" w:sz="4" w:space="0" w:color="auto"/>
              <w:right w:val="single" w:sz="4" w:space="0" w:color="auto"/>
            </w:tcBorders>
            <w:shd w:val="clear" w:color="auto" w:fill="auto"/>
            <w:noWrap/>
            <w:vAlign w:val="center"/>
            <w:hideMark/>
          </w:tcPr>
          <w:p w14:paraId="077B0DDD" w14:textId="50039796" w:rsidR="009D561B" w:rsidRDefault="00B06992" w:rsidP="009D561B">
            <w:pPr>
              <w:spacing w:after="0" w:line="240" w:lineRule="auto"/>
              <w:rPr>
                <w:rFonts w:ascii="Calibri" w:eastAsia="Times New Roman" w:hAnsi="Calibri" w:cs="Calibri"/>
                <w:color w:val="000000"/>
                <w:lang w:val="et-EE" w:eastAsia="et-EE"/>
              </w:rPr>
            </w:pPr>
            <w:hyperlink r:id="rId108" w:history="1">
              <w:r w:rsidR="009D561B" w:rsidRPr="003D0AF9">
                <w:rPr>
                  <w:rStyle w:val="Hyperlink"/>
                  <w:rFonts w:ascii="Calibri" w:eastAsia="Times New Roman" w:hAnsi="Calibri" w:cs="Calibri"/>
                  <w:lang w:val="et-EE" w:eastAsia="et-EE"/>
                </w:rPr>
                <w:t>https://www.ambergrid.lt/en/services/maintenance-works</w:t>
              </w:r>
            </w:hyperlink>
          </w:p>
          <w:p w14:paraId="3CB65238" w14:textId="3272ECF9" w:rsidR="009D561B" w:rsidRDefault="00B06992" w:rsidP="009D561B">
            <w:pPr>
              <w:spacing w:after="0" w:line="240" w:lineRule="auto"/>
              <w:rPr>
                <w:rFonts w:ascii="Calibri" w:eastAsia="Times New Roman" w:hAnsi="Calibri" w:cs="Calibri"/>
                <w:color w:val="000000"/>
                <w:lang w:val="et-EE" w:eastAsia="et-EE"/>
              </w:rPr>
            </w:pPr>
            <w:hyperlink r:id="rId109" w:history="1">
              <w:r w:rsidR="009D561B" w:rsidRPr="003D0AF9">
                <w:rPr>
                  <w:rStyle w:val="Hyperlink"/>
                  <w:rFonts w:ascii="Calibri" w:eastAsia="Times New Roman" w:hAnsi="Calibri" w:cs="Calibri"/>
                  <w:lang w:val="et-EE" w:eastAsia="et-EE"/>
                </w:rPr>
                <w:t>https://umm.getbaltic.com/public-umm</w:t>
              </w:r>
            </w:hyperlink>
          </w:p>
          <w:p w14:paraId="21FA5808" w14:textId="38F8D2A8" w:rsidR="009D561B" w:rsidRPr="00681F8C" w:rsidRDefault="009D561B" w:rsidP="009D561B">
            <w:pPr>
              <w:spacing w:after="0" w:line="240" w:lineRule="auto"/>
              <w:rPr>
                <w:rFonts w:ascii="Calibri" w:eastAsia="Times New Roman" w:hAnsi="Calibri" w:cs="Calibri"/>
                <w:color w:val="000000"/>
                <w:lang w:val="et-EE" w:eastAsia="et-EE"/>
              </w:rPr>
            </w:pPr>
          </w:p>
        </w:tc>
      </w:tr>
      <w:tr w:rsidR="009D561B" w:rsidRPr="00681F8C" w14:paraId="00D5FE6C"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96B54E9"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3.4 (1)(2)</w:t>
            </w:r>
          </w:p>
        </w:tc>
        <w:tc>
          <w:tcPr>
            <w:tcW w:w="724" w:type="pct"/>
            <w:tcBorders>
              <w:top w:val="nil"/>
              <w:left w:val="nil"/>
              <w:bottom w:val="single" w:sz="4" w:space="0" w:color="auto"/>
              <w:right w:val="single" w:sz="4" w:space="0" w:color="auto"/>
            </w:tcBorders>
            <w:shd w:val="clear" w:color="auto" w:fill="auto"/>
            <w:vAlign w:val="center"/>
            <w:hideMark/>
          </w:tcPr>
          <w:p w14:paraId="15A53E4C"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Information on secondary trading</w:t>
            </w:r>
          </w:p>
        </w:tc>
        <w:tc>
          <w:tcPr>
            <w:tcW w:w="680" w:type="pct"/>
            <w:tcBorders>
              <w:top w:val="nil"/>
              <w:left w:val="nil"/>
              <w:bottom w:val="single" w:sz="4" w:space="0" w:color="auto"/>
              <w:right w:val="single" w:sz="4" w:space="0" w:color="auto"/>
            </w:tcBorders>
            <w:shd w:val="clear" w:color="auto" w:fill="auto"/>
            <w:vAlign w:val="center"/>
            <w:hideMark/>
          </w:tcPr>
          <w:p w14:paraId="7F53A04E" w14:textId="5CB62D6C" w:rsidR="009D561B" w:rsidRPr="00681F8C" w:rsidRDefault="00B06992" w:rsidP="009D561B">
            <w:pPr>
              <w:spacing w:after="0" w:line="240" w:lineRule="auto"/>
              <w:rPr>
                <w:rFonts w:ascii="Calibri" w:eastAsia="Times New Roman" w:hAnsi="Calibri" w:cs="Calibri"/>
                <w:lang w:val="et-EE" w:eastAsia="et-EE"/>
              </w:rPr>
            </w:pPr>
            <w:hyperlink r:id="rId110" w:history="1">
              <w:r w:rsidR="009D561B" w:rsidRPr="00681F8C">
                <w:rPr>
                  <w:rStyle w:val="Hyperlink"/>
                  <w:rFonts w:ascii="Calibri" w:eastAsia="Times New Roman" w:hAnsi="Calibri" w:cs="Calibri"/>
                  <w:lang w:val="et-EE" w:eastAsia="et-EE"/>
                </w:rPr>
                <w:t>Hormonized conditions is defined in point (6) of Transmission Regulation - Secondary capacity trading</w:t>
              </w:r>
            </w:hyperlink>
          </w:p>
        </w:tc>
        <w:tc>
          <w:tcPr>
            <w:tcW w:w="862" w:type="pct"/>
            <w:tcBorders>
              <w:top w:val="nil"/>
              <w:left w:val="nil"/>
              <w:bottom w:val="single" w:sz="4" w:space="0" w:color="auto"/>
              <w:right w:val="single" w:sz="4" w:space="0" w:color="auto"/>
            </w:tcBorders>
            <w:shd w:val="clear" w:color="auto" w:fill="auto"/>
            <w:vAlign w:val="center"/>
            <w:hideMark/>
          </w:tcPr>
          <w:p w14:paraId="4639C11A" w14:textId="691AC554" w:rsidR="009D561B" w:rsidRPr="00681F8C" w:rsidRDefault="00B06992" w:rsidP="009D561B">
            <w:pPr>
              <w:spacing w:after="0" w:line="240" w:lineRule="auto"/>
              <w:rPr>
                <w:rFonts w:ascii="Calibri" w:eastAsia="Times New Roman" w:hAnsi="Calibri" w:cs="Calibri"/>
                <w:color w:val="000000"/>
                <w:lang w:val="et-EE" w:eastAsia="et-EE"/>
              </w:rPr>
            </w:pPr>
            <w:hyperlink r:id="rId111" w:history="1">
              <w:r w:rsidR="009D561B" w:rsidRPr="00681F8C">
                <w:rPr>
                  <w:rStyle w:val="Hyperlink"/>
                  <w:rFonts w:ascii="Calibri" w:eastAsia="Times New Roman" w:hAnsi="Calibri" w:cs="Calibri"/>
                  <w:lang w:val="et-EE" w:eastAsia="et-EE"/>
                </w:rPr>
                <w:t>Hormonized conditions is defined in point (6) of Transmission Regulation - Secondary capacity trading</w:t>
              </w:r>
            </w:hyperlink>
          </w:p>
        </w:tc>
        <w:tc>
          <w:tcPr>
            <w:tcW w:w="907" w:type="pct"/>
            <w:tcBorders>
              <w:top w:val="nil"/>
              <w:left w:val="nil"/>
              <w:bottom w:val="single" w:sz="4" w:space="0" w:color="auto"/>
              <w:right w:val="single" w:sz="4" w:space="0" w:color="auto"/>
            </w:tcBorders>
            <w:shd w:val="clear" w:color="auto" w:fill="auto"/>
            <w:noWrap/>
            <w:vAlign w:val="center"/>
            <w:hideMark/>
          </w:tcPr>
          <w:p w14:paraId="30B1EA86" w14:textId="1BF32A9A" w:rsidR="009D561B" w:rsidRPr="00681F8C" w:rsidRDefault="00B06992" w:rsidP="009D561B">
            <w:pPr>
              <w:spacing w:after="0" w:line="240" w:lineRule="auto"/>
              <w:rPr>
                <w:rFonts w:ascii="Calibri" w:eastAsia="Times New Roman" w:hAnsi="Calibri" w:cs="Calibri"/>
                <w:color w:val="000000"/>
                <w:lang w:val="et-EE" w:eastAsia="et-EE"/>
              </w:rPr>
            </w:pPr>
            <w:hyperlink r:id="rId112" w:history="1">
              <w:r w:rsidR="00FC2D9C" w:rsidRPr="009D561B">
                <w:rPr>
                  <w:rStyle w:val="Hyperlink"/>
                  <w:rFonts w:ascii="Calibri" w:eastAsia="Times New Roman" w:hAnsi="Calibri" w:cs="Calibri"/>
                  <w:lang w:val="et-EE" w:eastAsia="et-EE"/>
                </w:rPr>
                <w:t>Rules for gas Transmission (chapter 6)</w:t>
              </w:r>
            </w:hyperlink>
          </w:p>
        </w:tc>
        <w:tc>
          <w:tcPr>
            <w:tcW w:w="800" w:type="pct"/>
            <w:tcBorders>
              <w:top w:val="nil"/>
              <w:left w:val="nil"/>
              <w:bottom w:val="single" w:sz="4" w:space="0" w:color="auto"/>
              <w:right w:val="single" w:sz="4" w:space="0" w:color="auto"/>
            </w:tcBorders>
            <w:shd w:val="clear" w:color="auto" w:fill="auto"/>
            <w:noWrap/>
            <w:vAlign w:val="center"/>
            <w:hideMark/>
          </w:tcPr>
          <w:p w14:paraId="347ED59F" w14:textId="703CDF49" w:rsidR="009D561B" w:rsidRPr="00681F8C" w:rsidRDefault="00B06992" w:rsidP="009D561B">
            <w:pPr>
              <w:spacing w:after="0" w:line="240" w:lineRule="auto"/>
              <w:rPr>
                <w:rFonts w:ascii="Calibri" w:eastAsia="Times New Roman" w:hAnsi="Calibri" w:cs="Calibri"/>
                <w:color w:val="000000"/>
                <w:lang w:val="et-EE" w:eastAsia="et-EE"/>
              </w:rPr>
            </w:pPr>
            <w:hyperlink r:id="rId113" w:history="1">
              <w:r w:rsidR="009D561B" w:rsidRPr="003D0AF9">
                <w:rPr>
                  <w:rStyle w:val="Hyperlink"/>
                  <w:rFonts w:ascii="Calibri" w:eastAsia="Times New Roman" w:hAnsi="Calibri" w:cs="Calibri"/>
                  <w:lang w:val="et-EE" w:eastAsia="et-EE"/>
                </w:rPr>
                <w:t>https://www.ambergrid.lt/en/services/capacity-information/secondarycapacitymarket</w:t>
              </w:r>
            </w:hyperlink>
          </w:p>
        </w:tc>
      </w:tr>
      <w:tr w:rsidR="009D561B" w:rsidRPr="00681F8C" w14:paraId="5391F9B0" w14:textId="77777777" w:rsidTr="006A7973">
        <w:trPr>
          <w:gridAfter w:val="1"/>
          <w:wAfter w:w="799" w:type="pct"/>
          <w:trHeight w:val="24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C8E178E"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3.4 (3)</w:t>
            </w:r>
          </w:p>
        </w:tc>
        <w:tc>
          <w:tcPr>
            <w:tcW w:w="724" w:type="pct"/>
            <w:tcBorders>
              <w:top w:val="nil"/>
              <w:left w:val="nil"/>
              <w:bottom w:val="single" w:sz="4" w:space="0" w:color="auto"/>
              <w:right w:val="single" w:sz="4" w:space="0" w:color="auto"/>
            </w:tcBorders>
            <w:shd w:val="clear" w:color="auto" w:fill="auto"/>
            <w:vAlign w:val="center"/>
            <w:hideMark/>
          </w:tcPr>
          <w:p w14:paraId="622A5D67"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Balancing services</w:t>
            </w:r>
          </w:p>
        </w:tc>
        <w:tc>
          <w:tcPr>
            <w:tcW w:w="680" w:type="pct"/>
            <w:tcBorders>
              <w:top w:val="nil"/>
              <w:left w:val="nil"/>
              <w:bottom w:val="single" w:sz="4" w:space="0" w:color="auto"/>
              <w:right w:val="single" w:sz="4" w:space="0" w:color="auto"/>
            </w:tcBorders>
            <w:shd w:val="clear" w:color="auto" w:fill="auto"/>
            <w:vAlign w:val="center"/>
            <w:hideMark/>
          </w:tcPr>
          <w:p w14:paraId="0E4E3451" w14:textId="509DD9EC" w:rsidR="009D561B" w:rsidRPr="00681F8C" w:rsidRDefault="009D561B" w:rsidP="009D561B">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Calculation and application principles as well as other details are defined in the Balancing Regulation:</w:t>
            </w:r>
            <w:r w:rsidRPr="00681F8C">
              <w:rPr>
                <w:rFonts w:ascii="Calibri" w:eastAsia="Times New Roman" w:hAnsi="Calibri" w:cs="Calibri"/>
                <w:lang w:val="et-EE" w:eastAsia="et-EE"/>
              </w:rPr>
              <w:br/>
              <w:t xml:space="preserve"> - </w:t>
            </w:r>
            <w:hyperlink r:id="rId114" w:history="1">
              <w:r w:rsidRPr="00681F8C">
                <w:rPr>
                  <w:rStyle w:val="Hyperlink"/>
                  <w:rFonts w:ascii="Calibri" w:eastAsia="Times New Roman" w:hAnsi="Calibri" w:cs="Calibri"/>
                  <w:lang w:val="et-EE" w:eastAsia="et-EE"/>
                </w:rPr>
                <w:t>Balancing prices</w:t>
              </w:r>
            </w:hyperlink>
            <w:r w:rsidRPr="00681F8C">
              <w:rPr>
                <w:rFonts w:ascii="Calibri" w:eastAsia="Times New Roman" w:hAnsi="Calibri" w:cs="Calibri"/>
                <w:lang w:val="et-EE" w:eastAsia="et-EE"/>
              </w:rPr>
              <w:br/>
              <w:t xml:space="preserve"> - </w:t>
            </w:r>
            <w:hyperlink r:id="rId115" w:history="1">
              <w:r w:rsidRPr="00681F8C">
                <w:rPr>
                  <w:rStyle w:val="Hyperlink"/>
                  <w:rFonts w:ascii="Calibri" w:eastAsia="Times New Roman" w:hAnsi="Calibri" w:cs="Calibri"/>
                  <w:lang w:val="et-EE" w:eastAsia="et-EE"/>
                </w:rPr>
                <w:t>MSP and MBP</w:t>
              </w:r>
            </w:hyperlink>
            <w:r w:rsidRPr="00681F8C">
              <w:rPr>
                <w:rFonts w:ascii="Calibri" w:eastAsia="Times New Roman" w:hAnsi="Calibri" w:cs="Calibri"/>
                <w:lang w:val="et-EE" w:eastAsia="et-EE"/>
              </w:rPr>
              <w:t xml:space="preserve"> </w:t>
            </w:r>
            <w:hyperlink r:id="rId116" w:history="1">
              <w:r w:rsidRPr="00681F8C">
                <w:rPr>
                  <w:rStyle w:val="Hyperlink"/>
                  <w:rFonts w:ascii="Calibri" w:eastAsia="Times New Roman" w:hAnsi="Calibri" w:cs="Calibri"/>
                  <w:lang w:val="et-EE" w:eastAsia="et-EE"/>
                </w:rPr>
                <w:t>incentive factors</w:t>
              </w:r>
            </w:hyperlink>
            <w:r w:rsidRPr="00681F8C">
              <w:rPr>
                <w:rFonts w:ascii="Calibri" w:eastAsia="Times New Roman" w:hAnsi="Calibri" w:cs="Calibri"/>
                <w:lang w:val="et-EE" w:eastAsia="et-EE"/>
              </w:rPr>
              <w:br/>
              <w:t xml:space="preserve"> - </w:t>
            </w:r>
            <w:hyperlink r:id="rId117" w:history="1">
              <w:r w:rsidRPr="00681F8C">
                <w:rPr>
                  <w:rStyle w:val="Hyperlink"/>
                  <w:rFonts w:ascii="Calibri" w:eastAsia="Times New Roman" w:hAnsi="Calibri" w:cs="Calibri"/>
                  <w:lang w:val="et-EE" w:eastAsia="et-EE"/>
                </w:rPr>
                <w:t>Neutrality charge</w:t>
              </w:r>
            </w:hyperlink>
            <w:r w:rsidRPr="00681F8C">
              <w:rPr>
                <w:rFonts w:ascii="Calibri" w:eastAsia="Times New Roman" w:hAnsi="Calibri" w:cs="Calibri"/>
                <w:lang w:val="et-EE" w:eastAsia="et-EE"/>
              </w:rPr>
              <w:br/>
            </w:r>
            <w:r w:rsidRPr="00681F8C">
              <w:rPr>
                <w:rFonts w:ascii="Calibri" w:eastAsia="Times New Roman" w:hAnsi="Calibri" w:cs="Calibri"/>
                <w:lang w:val="et-EE" w:eastAsia="et-EE"/>
              </w:rPr>
              <w:br/>
            </w:r>
            <w:hyperlink r:id="rId118" w:history="1">
              <w:r w:rsidRPr="00681F8C">
                <w:rPr>
                  <w:rStyle w:val="Hyperlink"/>
                  <w:rFonts w:ascii="Calibri" w:eastAsia="Times New Roman" w:hAnsi="Calibri" w:cs="Calibri"/>
                  <w:lang w:val="et-EE" w:eastAsia="et-EE"/>
                </w:rPr>
                <w:t>Information regarding the balance status of each network user is accessible via client portal</w:t>
              </w:r>
            </w:hyperlink>
          </w:p>
        </w:tc>
        <w:tc>
          <w:tcPr>
            <w:tcW w:w="862" w:type="pct"/>
            <w:tcBorders>
              <w:top w:val="nil"/>
              <w:left w:val="nil"/>
              <w:bottom w:val="single" w:sz="4" w:space="0" w:color="auto"/>
              <w:right w:val="single" w:sz="4" w:space="0" w:color="auto"/>
            </w:tcBorders>
            <w:shd w:val="clear" w:color="auto" w:fill="auto"/>
            <w:vAlign w:val="center"/>
            <w:hideMark/>
          </w:tcPr>
          <w:p w14:paraId="6939B4D5" w14:textId="1B87B455" w:rsidR="009D561B" w:rsidRPr="00681F8C" w:rsidRDefault="009D561B" w:rsidP="009D561B">
            <w:pPr>
              <w:spacing w:after="0" w:line="240" w:lineRule="auto"/>
              <w:rPr>
                <w:rFonts w:ascii="Calibri" w:eastAsia="Times New Roman" w:hAnsi="Calibri" w:cs="Calibri"/>
                <w:lang w:val="et-EE" w:eastAsia="et-EE"/>
              </w:rPr>
            </w:pPr>
            <w:r w:rsidRPr="00681F8C">
              <w:rPr>
                <w:rFonts w:ascii="Calibri" w:eastAsia="Times New Roman" w:hAnsi="Calibri" w:cs="Calibri"/>
                <w:lang w:val="et-EE" w:eastAsia="et-EE"/>
              </w:rPr>
              <w:t>Calculation and application principles as well as other details are defined in the Balancing Regulation:</w:t>
            </w:r>
            <w:r w:rsidRPr="00681F8C">
              <w:rPr>
                <w:rFonts w:ascii="Calibri" w:eastAsia="Times New Roman" w:hAnsi="Calibri" w:cs="Calibri"/>
                <w:lang w:val="et-EE" w:eastAsia="et-EE"/>
              </w:rPr>
              <w:br/>
              <w:t xml:space="preserve"> - </w:t>
            </w:r>
            <w:hyperlink r:id="rId119" w:history="1">
              <w:r w:rsidRPr="00681F8C">
                <w:rPr>
                  <w:rStyle w:val="Hyperlink"/>
                  <w:rFonts w:ascii="Calibri" w:eastAsia="Times New Roman" w:hAnsi="Calibri" w:cs="Calibri"/>
                  <w:lang w:val="et-EE" w:eastAsia="et-EE"/>
                </w:rPr>
                <w:t>Balancing prices</w:t>
              </w:r>
            </w:hyperlink>
            <w:r w:rsidRPr="00681F8C">
              <w:rPr>
                <w:rFonts w:ascii="Calibri" w:eastAsia="Times New Roman" w:hAnsi="Calibri" w:cs="Calibri"/>
                <w:lang w:val="et-EE" w:eastAsia="et-EE"/>
              </w:rPr>
              <w:br/>
              <w:t xml:space="preserve"> - </w:t>
            </w:r>
            <w:hyperlink r:id="rId120" w:history="1">
              <w:r w:rsidRPr="00681F8C">
                <w:rPr>
                  <w:rStyle w:val="Hyperlink"/>
                  <w:rFonts w:ascii="Calibri" w:eastAsia="Times New Roman" w:hAnsi="Calibri" w:cs="Calibri"/>
                  <w:lang w:val="et-EE" w:eastAsia="et-EE"/>
                </w:rPr>
                <w:t>MSP and MBP</w:t>
              </w:r>
            </w:hyperlink>
            <w:r w:rsidRPr="00681F8C">
              <w:rPr>
                <w:rFonts w:ascii="Calibri" w:eastAsia="Times New Roman" w:hAnsi="Calibri" w:cs="Calibri"/>
                <w:lang w:val="et-EE" w:eastAsia="et-EE"/>
              </w:rPr>
              <w:t xml:space="preserve"> </w:t>
            </w:r>
            <w:hyperlink r:id="rId121" w:history="1">
              <w:r w:rsidRPr="00681F8C">
                <w:rPr>
                  <w:rStyle w:val="Hyperlink"/>
                  <w:rFonts w:ascii="Calibri" w:eastAsia="Times New Roman" w:hAnsi="Calibri" w:cs="Calibri"/>
                  <w:lang w:val="et-EE" w:eastAsia="et-EE"/>
                </w:rPr>
                <w:t>incentive factors</w:t>
              </w:r>
            </w:hyperlink>
            <w:r w:rsidRPr="00681F8C">
              <w:rPr>
                <w:rFonts w:ascii="Calibri" w:eastAsia="Times New Roman" w:hAnsi="Calibri" w:cs="Calibri"/>
                <w:lang w:val="et-EE" w:eastAsia="et-EE"/>
              </w:rPr>
              <w:br/>
              <w:t xml:space="preserve"> - </w:t>
            </w:r>
            <w:hyperlink r:id="rId122" w:history="1">
              <w:r w:rsidRPr="00681F8C">
                <w:rPr>
                  <w:rStyle w:val="Hyperlink"/>
                  <w:rFonts w:ascii="Calibri" w:eastAsia="Times New Roman" w:hAnsi="Calibri" w:cs="Calibri"/>
                  <w:lang w:val="et-EE" w:eastAsia="et-EE"/>
                </w:rPr>
                <w:t>Neutrality charge</w:t>
              </w:r>
            </w:hyperlink>
            <w:r w:rsidRPr="00681F8C">
              <w:rPr>
                <w:rFonts w:ascii="Calibri" w:eastAsia="Times New Roman" w:hAnsi="Calibri" w:cs="Calibri"/>
                <w:lang w:val="et-EE" w:eastAsia="et-EE"/>
              </w:rPr>
              <w:br/>
            </w:r>
            <w:r w:rsidRPr="00681F8C">
              <w:rPr>
                <w:rFonts w:ascii="Calibri" w:eastAsia="Times New Roman" w:hAnsi="Calibri" w:cs="Calibri"/>
                <w:lang w:val="et-EE" w:eastAsia="et-EE"/>
              </w:rPr>
              <w:br/>
            </w:r>
            <w:hyperlink r:id="rId123" w:history="1">
              <w:r w:rsidRPr="00681F8C">
                <w:rPr>
                  <w:rStyle w:val="Hyperlink"/>
                  <w:rFonts w:ascii="Calibri" w:eastAsia="Times New Roman" w:hAnsi="Calibri" w:cs="Calibri"/>
                  <w:lang w:val="et-EE" w:eastAsia="et-EE"/>
                </w:rPr>
                <w:t>Information regarding the balance status of each network user is accessible via client portal</w:t>
              </w:r>
            </w:hyperlink>
          </w:p>
        </w:tc>
        <w:tc>
          <w:tcPr>
            <w:tcW w:w="907" w:type="pct"/>
            <w:tcBorders>
              <w:top w:val="nil"/>
              <w:left w:val="nil"/>
              <w:bottom w:val="single" w:sz="4" w:space="0" w:color="auto"/>
              <w:right w:val="single" w:sz="4" w:space="0" w:color="auto"/>
            </w:tcBorders>
            <w:shd w:val="clear" w:color="auto" w:fill="auto"/>
            <w:noWrap/>
            <w:vAlign w:val="center"/>
            <w:hideMark/>
          </w:tcPr>
          <w:p w14:paraId="0F9804B7" w14:textId="77777777" w:rsidR="00FC2D9C" w:rsidRDefault="00B06992" w:rsidP="009D561B">
            <w:pPr>
              <w:spacing w:after="0" w:line="240" w:lineRule="auto"/>
              <w:rPr>
                <w:rFonts w:ascii="Calibri" w:eastAsia="Times New Roman" w:hAnsi="Calibri" w:cs="Calibri"/>
                <w:color w:val="000000"/>
                <w:lang w:val="et-EE" w:eastAsia="et-EE"/>
              </w:rPr>
            </w:pPr>
            <w:hyperlink r:id="rId124" w:history="1">
              <w:r w:rsidR="00FC2D9C" w:rsidRPr="00FC2D9C">
                <w:rPr>
                  <w:rStyle w:val="Hyperlink"/>
                  <w:rFonts w:ascii="Calibri" w:eastAsia="Times New Roman" w:hAnsi="Calibri" w:cs="Calibri"/>
                  <w:lang w:val="et-EE" w:eastAsia="et-EE"/>
                </w:rPr>
                <w:t>Terms and Conditions of Balancing</w:t>
              </w:r>
            </w:hyperlink>
          </w:p>
          <w:p w14:paraId="533C4013" w14:textId="53AC2F1B" w:rsidR="00FC2D9C" w:rsidRDefault="00FC2D9C" w:rsidP="009D561B">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 xml:space="preserve"> </w:t>
            </w:r>
          </w:p>
          <w:p w14:paraId="65DB2C10" w14:textId="2A8F36F6" w:rsidR="009D561B" w:rsidRPr="00681F8C" w:rsidRDefault="00B06992" w:rsidP="009D561B">
            <w:pPr>
              <w:spacing w:after="0" w:line="240" w:lineRule="auto"/>
              <w:rPr>
                <w:rFonts w:ascii="Calibri" w:eastAsia="Times New Roman" w:hAnsi="Calibri" w:cs="Calibri"/>
                <w:color w:val="000000"/>
                <w:lang w:val="et-EE" w:eastAsia="et-EE"/>
              </w:rPr>
            </w:pPr>
            <w:hyperlink r:id="rId125" w:history="1">
              <w:r w:rsidR="00FC2D9C" w:rsidRPr="00FC2D9C">
                <w:rPr>
                  <w:rStyle w:val="Hyperlink"/>
                  <w:rFonts w:ascii="Calibri" w:eastAsia="Times New Roman" w:hAnsi="Calibri" w:cs="Calibri"/>
                  <w:lang w:val="et-EE" w:eastAsia="et-EE"/>
                </w:rPr>
                <w:t>Rules for gas Transmission (chapter 9)</w:t>
              </w:r>
            </w:hyperlink>
          </w:p>
        </w:tc>
        <w:tc>
          <w:tcPr>
            <w:tcW w:w="800" w:type="pct"/>
            <w:tcBorders>
              <w:top w:val="nil"/>
              <w:left w:val="nil"/>
              <w:bottom w:val="single" w:sz="4" w:space="0" w:color="auto"/>
              <w:right w:val="single" w:sz="4" w:space="0" w:color="auto"/>
            </w:tcBorders>
            <w:shd w:val="clear" w:color="auto" w:fill="auto"/>
            <w:noWrap/>
            <w:vAlign w:val="center"/>
            <w:hideMark/>
          </w:tcPr>
          <w:p w14:paraId="2436561A" w14:textId="38069671" w:rsidR="009D561B" w:rsidRPr="00681F8C" w:rsidRDefault="009D561B" w:rsidP="009D561B">
            <w:pPr>
              <w:spacing w:after="0" w:line="240" w:lineRule="auto"/>
              <w:rPr>
                <w:rFonts w:ascii="Calibri" w:eastAsia="Times New Roman" w:hAnsi="Calibri" w:cs="Calibri"/>
                <w:color w:val="000000"/>
                <w:lang w:val="et-EE" w:eastAsia="et-EE"/>
              </w:rPr>
            </w:pPr>
            <w:r w:rsidRPr="00740E27">
              <w:rPr>
                <w:rFonts w:ascii="Calibri" w:eastAsia="Times New Roman" w:hAnsi="Calibri" w:cs="Calibri"/>
                <w:color w:val="000000"/>
                <w:lang w:val="et-EE" w:eastAsia="et-EE"/>
              </w:rPr>
              <w:t>Information regarding the balance status of each network user is accessible via client portal</w:t>
            </w:r>
          </w:p>
        </w:tc>
      </w:tr>
      <w:tr w:rsidR="009D561B" w:rsidRPr="00681F8C" w14:paraId="04A8CED5" w14:textId="77777777" w:rsidTr="006A7973">
        <w:trPr>
          <w:gridAfter w:val="1"/>
          <w:wAfter w:w="799" w:type="pct"/>
          <w:trHeight w:val="3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2224B167"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3.4 (4)</w:t>
            </w:r>
          </w:p>
        </w:tc>
        <w:tc>
          <w:tcPr>
            <w:tcW w:w="724" w:type="pct"/>
            <w:tcBorders>
              <w:top w:val="nil"/>
              <w:left w:val="nil"/>
              <w:bottom w:val="single" w:sz="4" w:space="0" w:color="auto"/>
              <w:right w:val="single" w:sz="4" w:space="0" w:color="auto"/>
            </w:tcBorders>
            <w:shd w:val="clear" w:color="auto" w:fill="auto"/>
            <w:vAlign w:val="center"/>
            <w:hideMark/>
          </w:tcPr>
          <w:p w14:paraId="74B6756F"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Flexibility services, other than tolerances</w:t>
            </w:r>
          </w:p>
        </w:tc>
        <w:tc>
          <w:tcPr>
            <w:tcW w:w="680" w:type="pct"/>
            <w:tcBorders>
              <w:top w:val="nil"/>
              <w:left w:val="nil"/>
              <w:bottom w:val="single" w:sz="4" w:space="0" w:color="auto"/>
              <w:right w:val="single" w:sz="4" w:space="0" w:color="auto"/>
            </w:tcBorders>
            <w:shd w:val="clear" w:color="auto" w:fill="auto"/>
            <w:vAlign w:val="center"/>
            <w:hideMark/>
          </w:tcPr>
          <w:p w14:paraId="16C42C4C"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Currently Conexus Baltic Grid do not offer flexibility services</w:t>
            </w:r>
          </w:p>
        </w:tc>
        <w:tc>
          <w:tcPr>
            <w:tcW w:w="862" w:type="pct"/>
            <w:tcBorders>
              <w:top w:val="nil"/>
              <w:left w:val="nil"/>
              <w:bottom w:val="single" w:sz="4" w:space="0" w:color="auto"/>
              <w:right w:val="single" w:sz="4" w:space="0" w:color="auto"/>
            </w:tcBorders>
            <w:shd w:val="clear" w:color="auto" w:fill="auto"/>
            <w:vAlign w:val="center"/>
            <w:hideMark/>
          </w:tcPr>
          <w:p w14:paraId="7EE41495" w14:textId="24515B3F"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 xml:space="preserve">Currently </w:t>
            </w:r>
            <w:r>
              <w:rPr>
                <w:rFonts w:ascii="Calibri" w:eastAsia="Times New Roman" w:hAnsi="Calibri" w:cs="Calibri"/>
                <w:color w:val="000000"/>
                <w:lang w:val="et-EE" w:eastAsia="et-EE"/>
              </w:rPr>
              <w:t>Elering</w:t>
            </w:r>
            <w:r w:rsidRPr="00681F8C">
              <w:rPr>
                <w:rFonts w:ascii="Calibri" w:eastAsia="Times New Roman" w:hAnsi="Calibri" w:cs="Calibri"/>
                <w:color w:val="000000"/>
                <w:lang w:val="et-EE" w:eastAsia="et-EE"/>
              </w:rPr>
              <w:t xml:space="preserve"> do not offer flexibility services</w:t>
            </w:r>
          </w:p>
        </w:tc>
        <w:tc>
          <w:tcPr>
            <w:tcW w:w="907" w:type="pct"/>
            <w:tcBorders>
              <w:top w:val="nil"/>
              <w:left w:val="nil"/>
              <w:bottom w:val="single" w:sz="4" w:space="0" w:color="auto"/>
              <w:right w:val="single" w:sz="4" w:space="0" w:color="auto"/>
            </w:tcBorders>
            <w:shd w:val="clear" w:color="auto" w:fill="auto"/>
            <w:noWrap/>
            <w:vAlign w:val="center"/>
            <w:hideMark/>
          </w:tcPr>
          <w:p w14:paraId="0EF68215" w14:textId="291FD534" w:rsidR="009D561B" w:rsidRPr="00681F8C" w:rsidRDefault="00741DA7" w:rsidP="009D561B">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NA</w:t>
            </w:r>
          </w:p>
        </w:tc>
        <w:tc>
          <w:tcPr>
            <w:tcW w:w="800" w:type="pct"/>
            <w:tcBorders>
              <w:top w:val="nil"/>
              <w:left w:val="nil"/>
              <w:bottom w:val="single" w:sz="4" w:space="0" w:color="auto"/>
              <w:right w:val="single" w:sz="4" w:space="0" w:color="auto"/>
            </w:tcBorders>
            <w:shd w:val="clear" w:color="auto" w:fill="auto"/>
            <w:noWrap/>
            <w:vAlign w:val="center"/>
            <w:hideMark/>
          </w:tcPr>
          <w:p w14:paraId="21E90D1D" w14:textId="73FAEC79" w:rsidR="009D561B" w:rsidRPr="00681F8C" w:rsidRDefault="009D561B" w:rsidP="009D561B">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NA</w:t>
            </w:r>
          </w:p>
        </w:tc>
      </w:tr>
      <w:tr w:rsidR="009D561B" w:rsidRPr="00681F8C" w14:paraId="12A6945D" w14:textId="77777777" w:rsidTr="006A7973">
        <w:trPr>
          <w:gridAfter w:val="1"/>
          <w:wAfter w:w="799" w:type="pct"/>
          <w:trHeight w:val="600"/>
        </w:trPr>
        <w:tc>
          <w:tcPr>
            <w:tcW w:w="228" w:type="pct"/>
            <w:tcBorders>
              <w:top w:val="nil"/>
              <w:left w:val="single" w:sz="4" w:space="0" w:color="auto"/>
              <w:bottom w:val="single" w:sz="4" w:space="0" w:color="auto"/>
              <w:right w:val="single" w:sz="4" w:space="0" w:color="auto"/>
            </w:tcBorders>
            <w:shd w:val="clear" w:color="auto" w:fill="auto"/>
            <w:vAlign w:val="center"/>
            <w:hideMark/>
          </w:tcPr>
          <w:p w14:paraId="5B1364D2"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lastRenderedPageBreak/>
              <w:t>3.4 (5)</w:t>
            </w:r>
          </w:p>
        </w:tc>
        <w:tc>
          <w:tcPr>
            <w:tcW w:w="724" w:type="pct"/>
            <w:tcBorders>
              <w:top w:val="nil"/>
              <w:left w:val="nil"/>
              <w:bottom w:val="single" w:sz="4" w:space="0" w:color="auto"/>
              <w:right w:val="single" w:sz="4" w:space="0" w:color="auto"/>
            </w:tcBorders>
            <w:shd w:val="clear" w:color="auto" w:fill="auto"/>
            <w:vAlign w:val="center"/>
            <w:hideMark/>
          </w:tcPr>
          <w:p w14:paraId="120FA2E9"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Current and forecasted aggregate imbalance position of the network users per balancing zone</w:t>
            </w:r>
          </w:p>
        </w:tc>
        <w:tc>
          <w:tcPr>
            <w:tcW w:w="680" w:type="pct"/>
            <w:tcBorders>
              <w:top w:val="nil"/>
              <w:left w:val="nil"/>
              <w:bottom w:val="single" w:sz="4" w:space="0" w:color="auto"/>
              <w:right w:val="single" w:sz="4" w:space="0" w:color="auto"/>
            </w:tcBorders>
            <w:shd w:val="clear" w:color="auto" w:fill="auto"/>
            <w:vAlign w:val="center"/>
            <w:hideMark/>
          </w:tcPr>
          <w:p w14:paraId="7CE97738" w14:textId="558BE02D" w:rsidR="009D561B" w:rsidRPr="00681F8C" w:rsidRDefault="00B06992" w:rsidP="009D561B">
            <w:pPr>
              <w:spacing w:after="0" w:line="240" w:lineRule="auto"/>
              <w:rPr>
                <w:rFonts w:ascii="Calibri" w:eastAsia="Times New Roman" w:hAnsi="Calibri" w:cs="Calibri"/>
                <w:color w:val="000000"/>
                <w:lang w:val="et-EE" w:eastAsia="et-EE"/>
              </w:rPr>
            </w:pPr>
            <w:hyperlink r:id="rId126" w:history="1">
              <w:r w:rsidR="009D561B" w:rsidRPr="00681F8C">
                <w:rPr>
                  <w:rStyle w:val="Hyperlink"/>
                  <w:rFonts w:ascii="Calibri" w:eastAsia="Times New Roman" w:hAnsi="Calibri" w:cs="Calibri"/>
                  <w:lang w:val="et-EE" w:eastAsia="et-EE"/>
                </w:rPr>
                <w:t>Imbalance position of all transmission system users</w:t>
              </w:r>
            </w:hyperlink>
          </w:p>
        </w:tc>
        <w:tc>
          <w:tcPr>
            <w:tcW w:w="862" w:type="pct"/>
            <w:tcBorders>
              <w:top w:val="nil"/>
              <w:left w:val="nil"/>
              <w:bottom w:val="single" w:sz="4" w:space="0" w:color="auto"/>
              <w:right w:val="single" w:sz="4" w:space="0" w:color="auto"/>
            </w:tcBorders>
            <w:shd w:val="clear" w:color="auto" w:fill="auto"/>
            <w:vAlign w:val="center"/>
            <w:hideMark/>
          </w:tcPr>
          <w:p w14:paraId="238F907D" w14:textId="489FED23" w:rsidR="009D561B" w:rsidRPr="00681F8C" w:rsidRDefault="00B06992" w:rsidP="009D561B">
            <w:pPr>
              <w:spacing w:after="0" w:line="240" w:lineRule="auto"/>
              <w:rPr>
                <w:rFonts w:ascii="Calibri" w:eastAsia="Times New Roman" w:hAnsi="Calibri" w:cs="Calibri"/>
                <w:color w:val="000000"/>
                <w:lang w:val="et-EE" w:eastAsia="et-EE"/>
              </w:rPr>
            </w:pPr>
            <w:hyperlink r:id="rId127" w:history="1">
              <w:r w:rsidR="009D561B" w:rsidRPr="008E318E">
                <w:rPr>
                  <w:rStyle w:val="Hyperlink"/>
                  <w:rFonts w:ascii="Calibri" w:eastAsia="Times New Roman" w:hAnsi="Calibri" w:cs="Calibri"/>
                  <w:lang w:val="et-EE" w:eastAsia="et-EE"/>
                </w:rPr>
                <w:t>Imbalance position of all transmission system users</w:t>
              </w:r>
            </w:hyperlink>
          </w:p>
        </w:tc>
        <w:tc>
          <w:tcPr>
            <w:tcW w:w="907" w:type="pct"/>
            <w:tcBorders>
              <w:top w:val="nil"/>
              <w:left w:val="nil"/>
              <w:bottom w:val="single" w:sz="4" w:space="0" w:color="auto"/>
              <w:right w:val="single" w:sz="4" w:space="0" w:color="auto"/>
            </w:tcBorders>
            <w:shd w:val="clear" w:color="auto" w:fill="auto"/>
            <w:noWrap/>
            <w:vAlign w:val="center"/>
            <w:hideMark/>
          </w:tcPr>
          <w:p w14:paraId="55A6C9AD" w14:textId="69248114" w:rsidR="009D561B" w:rsidRPr="00681F8C" w:rsidRDefault="00741DA7" w:rsidP="009D561B">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 xml:space="preserve">Shown in Gasgrid Portal. Principle described in </w:t>
            </w:r>
            <w:hyperlink r:id="rId128" w:history="1">
              <w:r w:rsidRPr="00741DA7">
                <w:rPr>
                  <w:rStyle w:val="Hyperlink"/>
                  <w:rFonts w:ascii="Calibri" w:eastAsia="Times New Roman" w:hAnsi="Calibri" w:cs="Calibri"/>
                  <w:lang w:val="et-EE" w:eastAsia="et-EE"/>
                </w:rPr>
                <w:t>chapter 9 of Rules for gas Transmission</w:t>
              </w:r>
            </w:hyperlink>
            <w:r>
              <w:rPr>
                <w:rFonts w:ascii="Calibri" w:eastAsia="Times New Roman" w:hAnsi="Calibri" w:cs="Calibri"/>
                <w:color w:val="000000"/>
                <w:lang w:val="et-EE" w:eastAsia="et-EE"/>
              </w:rPr>
              <w:t xml:space="preserve"> </w:t>
            </w:r>
          </w:p>
        </w:tc>
        <w:tc>
          <w:tcPr>
            <w:tcW w:w="800" w:type="pct"/>
            <w:tcBorders>
              <w:top w:val="nil"/>
              <w:left w:val="nil"/>
              <w:bottom w:val="single" w:sz="4" w:space="0" w:color="auto"/>
              <w:right w:val="single" w:sz="4" w:space="0" w:color="auto"/>
            </w:tcBorders>
            <w:shd w:val="clear" w:color="auto" w:fill="auto"/>
            <w:noWrap/>
            <w:vAlign w:val="center"/>
            <w:hideMark/>
          </w:tcPr>
          <w:p w14:paraId="7A93C983" w14:textId="0AA63AFB" w:rsidR="009D561B" w:rsidRPr="00681F8C" w:rsidRDefault="00B06992" w:rsidP="009D561B">
            <w:pPr>
              <w:spacing w:after="0" w:line="240" w:lineRule="auto"/>
              <w:rPr>
                <w:rFonts w:ascii="Calibri" w:eastAsia="Times New Roman" w:hAnsi="Calibri" w:cs="Calibri"/>
                <w:color w:val="000000"/>
                <w:lang w:val="et-EE" w:eastAsia="et-EE"/>
              </w:rPr>
            </w:pPr>
            <w:hyperlink r:id="rId129" w:history="1">
              <w:r w:rsidR="009D561B" w:rsidRPr="003D0AF9">
                <w:rPr>
                  <w:rStyle w:val="Hyperlink"/>
                  <w:rFonts w:ascii="Calibri" w:eastAsia="Times New Roman" w:hAnsi="Calibri" w:cs="Calibri"/>
                  <w:lang w:val="et-EE" w:eastAsia="et-EE"/>
                </w:rPr>
                <w:t>https://www.ambergrid.lt/en/services/balancing/inbalancing</w:t>
              </w:r>
            </w:hyperlink>
          </w:p>
        </w:tc>
      </w:tr>
      <w:tr w:rsidR="009D561B" w:rsidRPr="00681F8C" w14:paraId="14E56656" w14:textId="77777777" w:rsidTr="006A7973">
        <w:trPr>
          <w:gridAfter w:val="1"/>
          <w:wAfter w:w="799" w:type="pct"/>
          <w:trHeight w:val="900"/>
        </w:trPr>
        <w:tc>
          <w:tcPr>
            <w:tcW w:w="228" w:type="pct"/>
            <w:tcBorders>
              <w:top w:val="nil"/>
              <w:left w:val="single" w:sz="4" w:space="0" w:color="auto"/>
              <w:bottom w:val="nil"/>
              <w:right w:val="single" w:sz="4" w:space="0" w:color="auto"/>
            </w:tcBorders>
            <w:shd w:val="clear" w:color="auto" w:fill="auto"/>
            <w:vAlign w:val="center"/>
            <w:hideMark/>
          </w:tcPr>
          <w:p w14:paraId="1B966B4F"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3.4 (6)</w:t>
            </w:r>
          </w:p>
        </w:tc>
        <w:tc>
          <w:tcPr>
            <w:tcW w:w="724" w:type="pct"/>
            <w:tcBorders>
              <w:top w:val="nil"/>
              <w:left w:val="nil"/>
              <w:bottom w:val="nil"/>
              <w:right w:val="single" w:sz="4" w:space="0" w:color="auto"/>
            </w:tcBorders>
            <w:shd w:val="clear" w:color="auto" w:fill="auto"/>
            <w:vAlign w:val="center"/>
            <w:hideMark/>
          </w:tcPr>
          <w:p w14:paraId="749F8006" w14:textId="77777777"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t>Instruments for calculating tariffs</w:t>
            </w:r>
          </w:p>
        </w:tc>
        <w:tc>
          <w:tcPr>
            <w:tcW w:w="680" w:type="pct"/>
            <w:tcBorders>
              <w:top w:val="nil"/>
              <w:left w:val="nil"/>
              <w:bottom w:val="nil"/>
              <w:right w:val="single" w:sz="4" w:space="0" w:color="auto"/>
            </w:tcBorders>
            <w:shd w:val="clear" w:color="auto" w:fill="auto"/>
            <w:vAlign w:val="center"/>
            <w:hideMark/>
          </w:tcPr>
          <w:p w14:paraId="25FF6D94" w14:textId="0A4A1B78" w:rsidR="009D561B" w:rsidRPr="00681F8C" w:rsidRDefault="009D561B" w:rsidP="009D561B">
            <w:pPr>
              <w:spacing w:after="0" w:line="240" w:lineRule="auto"/>
              <w:rPr>
                <w:rFonts w:ascii="Calibri" w:eastAsia="Times New Roman" w:hAnsi="Calibri" w:cs="Calibri"/>
                <w:color w:val="000000"/>
                <w:lang w:val="et-EE" w:eastAsia="et-EE"/>
              </w:rPr>
            </w:pPr>
            <w:r w:rsidRPr="00681F8C">
              <w:rPr>
                <w:rFonts w:ascii="Calibri" w:eastAsia="Times New Roman" w:hAnsi="Calibri" w:cs="Calibri"/>
                <w:color w:val="000000"/>
                <w:lang w:val="et-EE" w:eastAsia="et-EE"/>
              </w:rPr>
              <w:br/>
            </w:r>
            <w:hyperlink r:id="rId130" w:history="1">
              <w:r w:rsidRPr="00681F8C">
                <w:rPr>
                  <w:rStyle w:val="Hyperlink"/>
                  <w:rFonts w:ascii="Calibri" w:eastAsia="Times New Roman" w:hAnsi="Calibri" w:cs="Calibri"/>
                  <w:lang w:val="et-EE" w:eastAsia="et-EE"/>
                </w:rPr>
                <w:t>Tariffs for Estonian - Latvian common</w:t>
              </w:r>
            </w:hyperlink>
            <w:r w:rsidRPr="00681F8C">
              <w:rPr>
                <w:rFonts w:ascii="Calibri" w:eastAsia="Times New Roman" w:hAnsi="Calibri" w:cs="Calibri"/>
                <w:color w:val="000000"/>
                <w:lang w:val="et-EE" w:eastAsia="et-EE"/>
              </w:rPr>
              <w:t xml:space="preserve"> </w:t>
            </w:r>
            <w:hyperlink r:id="rId131" w:history="1">
              <w:r w:rsidRPr="00681F8C">
                <w:rPr>
                  <w:rStyle w:val="Hyperlink"/>
                  <w:rFonts w:ascii="Calibri" w:eastAsia="Times New Roman" w:hAnsi="Calibri" w:cs="Calibri"/>
                  <w:lang w:val="et-EE" w:eastAsia="et-EE"/>
                </w:rPr>
                <w:t xml:space="preserve">balancing zone </w:t>
              </w:r>
              <w:r w:rsidRPr="00681F8C">
                <w:rPr>
                  <w:rStyle w:val="Hyperlink"/>
                  <w:rFonts w:ascii="Calibri" w:eastAsia="Times New Roman" w:hAnsi="Calibri" w:cs="Calibri"/>
                  <w:lang w:val="et-EE" w:eastAsia="et-EE"/>
                </w:rPr>
                <w:br/>
                <w:t>Neutrality charge</w:t>
              </w:r>
            </w:hyperlink>
          </w:p>
        </w:tc>
        <w:tc>
          <w:tcPr>
            <w:tcW w:w="862" w:type="pct"/>
            <w:tcBorders>
              <w:top w:val="nil"/>
              <w:left w:val="nil"/>
              <w:bottom w:val="nil"/>
              <w:right w:val="single" w:sz="4" w:space="0" w:color="auto"/>
            </w:tcBorders>
            <w:shd w:val="clear" w:color="auto" w:fill="auto"/>
            <w:vAlign w:val="center"/>
            <w:hideMark/>
          </w:tcPr>
          <w:p w14:paraId="4322ED74" w14:textId="28C428B7" w:rsidR="009D561B" w:rsidRDefault="009D561B" w:rsidP="009D561B">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Tariff information</w:t>
            </w:r>
            <w:r w:rsidRPr="00681F8C">
              <w:rPr>
                <w:rFonts w:ascii="Calibri" w:eastAsia="Times New Roman" w:hAnsi="Calibri" w:cs="Calibri"/>
                <w:color w:val="000000"/>
                <w:lang w:val="et-EE" w:eastAsia="et-EE"/>
              </w:rPr>
              <w:br/>
            </w:r>
            <w:hyperlink r:id="rId132" w:history="1">
              <w:r w:rsidRPr="009E5437">
                <w:rPr>
                  <w:rStyle w:val="Hyperlink"/>
                  <w:rFonts w:ascii="Calibri" w:eastAsia="Times New Roman" w:hAnsi="Calibri" w:cs="Calibri"/>
                  <w:lang w:val="et-EE" w:eastAsia="et-EE"/>
                </w:rPr>
                <w:t>https://elering.ee/en/network-service</w:t>
              </w:r>
            </w:hyperlink>
          </w:p>
          <w:p w14:paraId="6AA595F8" w14:textId="77777777" w:rsidR="009D561B" w:rsidRDefault="009D561B" w:rsidP="009D561B">
            <w:pPr>
              <w:spacing w:after="0" w:line="240" w:lineRule="auto"/>
              <w:rPr>
                <w:rFonts w:ascii="Calibri" w:eastAsia="Times New Roman" w:hAnsi="Calibri" w:cs="Calibri"/>
                <w:color w:val="000000"/>
                <w:lang w:val="et-EE" w:eastAsia="et-EE"/>
              </w:rPr>
            </w:pPr>
            <w:r>
              <w:rPr>
                <w:rFonts w:ascii="Calibri" w:eastAsia="Times New Roman" w:hAnsi="Calibri" w:cs="Calibri"/>
                <w:color w:val="000000"/>
                <w:lang w:val="et-EE" w:eastAsia="et-EE"/>
              </w:rPr>
              <w:t>Comparison table</w:t>
            </w:r>
          </w:p>
          <w:p w14:paraId="531B82EF" w14:textId="592DF2D1" w:rsidR="009D561B" w:rsidRPr="00681F8C" w:rsidRDefault="00B06992" w:rsidP="009D561B">
            <w:pPr>
              <w:spacing w:after="0" w:line="240" w:lineRule="auto"/>
              <w:rPr>
                <w:rFonts w:ascii="Calibri" w:eastAsia="Times New Roman" w:hAnsi="Calibri" w:cs="Calibri"/>
                <w:color w:val="000000"/>
                <w:lang w:val="et-EE" w:eastAsia="et-EE"/>
              </w:rPr>
            </w:pPr>
            <w:hyperlink r:id="rId133" w:history="1">
              <w:r w:rsidR="009D561B" w:rsidRPr="009E5437">
                <w:rPr>
                  <w:rStyle w:val="Hyperlink"/>
                  <w:rFonts w:ascii="Calibri" w:eastAsia="Times New Roman" w:hAnsi="Calibri" w:cs="Calibri"/>
                  <w:lang w:val="et-EE" w:eastAsia="et-EE"/>
                </w:rPr>
                <w:t>https://elering.ee/en/gas-tariff-comparison-tables</w:t>
              </w:r>
            </w:hyperlink>
            <w:r w:rsidR="009D561B">
              <w:rPr>
                <w:rFonts w:ascii="Calibri" w:eastAsia="Times New Roman" w:hAnsi="Calibri" w:cs="Calibri"/>
                <w:color w:val="000000"/>
                <w:lang w:val="et-EE" w:eastAsia="et-EE"/>
              </w:rPr>
              <w:t xml:space="preserve"> </w:t>
            </w:r>
            <w:r w:rsidR="009D561B" w:rsidRPr="00681F8C">
              <w:rPr>
                <w:rFonts w:ascii="Calibri" w:eastAsia="Times New Roman" w:hAnsi="Calibri" w:cs="Calibri"/>
                <w:color w:val="000000"/>
                <w:lang w:val="et-EE" w:eastAsia="et-EE"/>
              </w:rPr>
              <w:br/>
            </w:r>
          </w:p>
        </w:tc>
        <w:tc>
          <w:tcPr>
            <w:tcW w:w="907" w:type="pct"/>
            <w:tcBorders>
              <w:top w:val="nil"/>
              <w:left w:val="nil"/>
              <w:bottom w:val="nil"/>
              <w:right w:val="single" w:sz="4" w:space="0" w:color="auto"/>
            </w:tcBorders>
            <w:shd w:val="clear" w:color="auto" w:fill="auto"/>
            <w:noWrap/>
            <w:vAlign w:val="center"/>
            <w:hideMark/>
          </w:tcPr>
          <w:p w14:paraId="617ADF31" w14:textId="4EB49C0E" w:rsidR="009D561B" w:rsidRPr="00681F8C" w:rsidRDefault="00B06992" w:rsidP="009D561B">
            <w:pPr>
              <w:spacing w:after="0" w:line="240" w:lineRule="auto"/>
              <w:rPr>
                <w:rFonts w:ascii="Calibri" w:eastAsia="Times New Roman" w:hAnsi="Calibri" w:cs="Calibri"/>
                <w:color w:val="000000"/>
                <w:lang w:val="et-EE" w:eastAsia="et-EE"/>
              </w:rPr>
            </w:pPr>
            <w:hyperlink r:id="rId134" w:history="1">
              <w:r w:rsidR="00741DA7" w:rsidRPr="00741DA7">
                <w:rPr>
                  <w:rStyle w:val="Hyperlink"/>
                  <w:rFonts w:ascii="Calibri" w:eastAsia="Times New Roman" w:hAnsi="Calibri" w:cs="Calibri"/>
                  <w:lang w:val="et-EE" w:eastAsia="et-EE"/>
                </w:rPr>
                <w:t>Tariffs</w:t>
              </w:r>
            </w:hyperlink>
            <w:r w:rsidR="00741DA7">
              <w:rPr>
                <w:rFonts w:ascii="Calibri" w:eastAsia="Times New Roman" w:hAnsi="Calibri" w:cs="Calibri"/>
                <w:color w:val="000000"/>
                <w:lang w:val="et-EE" w:eastAsia="et-EE"/>
              </w:rPr>
              <w:t xml:space="preserve"> </w:t>
            </w:r>
          </w:p>
        </w:tc>
        <w:tc>
          <w:tcPr>
            <w:tcW w:w="800" w:type="pct"/>
            <w:tcBorders>
              <w:top w:val="nil"/>
              <w:left w:val="nil"/>
              <w:bottom w:val="nil"/>
              <w:right w:val="single" w:sz="4" w:space="0" w:color="auto"/>
            </w:tcBorders>
            <w:shd w:val="clear" w:color="auto" w:fill="auto"/>
            <w:noWrap/>
            <w:vAlign w:val="center"/>
            <w:hideMark/>
          </w:tcPr>
          <w:p w14:paraId="41D148DF" w14:textId="3745C36A" w:rsidR="009D561B" w:rsidRPr="00681F8C" w:rsidRDefault="00B06992" w:rsidP="009D561B">
            <w:pPr>
              <w:spacing w:after="0" w:line="240" w:lineRule="auto"/>
              <w:rPr>
                <w:rFonts w:ascii="Calibri" w:eastAsia="Times New Roman" w:hAnsi="Calibri" w:cs="Calibri"/>
                <w:color w:val="000000"/>
                <w:lang w:val="et-EE" w:eastAsia="et-EE"/>
              </w:rPr>
            </w:pPr>
            <w:hyperlink r:id="rId135" w:history="1">
              <w:r w:rsidR="009D561B" w:rsidRPr="003D0AF9">
                <w:rPr>
                  <w:rStyle w:val="Hyperlink"/>
                  <w:rFonts w:ascii="Calibri" w:eastAsia="Times New Roman" w:hAnsi="Calibri" w:cs="Calibri"/>
                  <w:lang w:val="et-EE" w:eastAsia="et-EE"/>
                </w:rPr>
                <w:t>https://www.ambergrid.lt/en/services/tariffs-prices/calculator</w:t>
              </w:r>
            </w:hyperlink>
          </w:p>
        </w:tc>
      </w:tr>
      <w:tr w:rsidR="009D561B" w:rsidRPr="00681F8C" w14:paraId="0BF85AEE" w14:textId="77777777" w:rsidTr="006A7973">
        <w:trPr>
          <w:gridAfter w:val="1"/>
          <w:wAfter w:w="799" w:type="pct"/>
          <w:trHeight w:val="900"/>
        </w:trPr>
        <w:tc>
          <w:tcPr>
            <w:tcW w:w="228" w:type="pct"/>
            <w:tcBorders>
              <w:top w:val="nil"/>
              <w:left w:val="single" w:sz="4" w:space="0" w:color="auto"/>
              <w:bottom w:val="single" w:sz="4" w:space="0" w:color="auto"/>
              <w:right w:val="single" w:sz="4" w:space="0" w:color="auto"/>
            </w:tcBorders>
            <w:shd w:val="clear" w:color="auto" w:fill="auto"/>
            <w:vAlign w:val="center"/>
          </w:tcPr>
          <w:p w14:paraId="499DD57A" w14:textId="77777777" w:rsidR="009D561B" w:rsidRPr="00681F8C" w:rsidRDefault="009D561B" w:rsidP="009D561B">
            <w:pPr>
              <w:spacing w:after="0" w:line="240" w:lineRule="auto"/>
              <w:rPr>
                <w:rFonts w:ascii="Calibri" w:eastAsia="Times New Roman" w:hAnsi="Calibri" w:cs="Calibri"/>
                <w:color w:val="000000"/>
                <w:lang w:val="et-EE" w:eastAsia="et-EE"/>
              </w:rPr>
            </w:pPr>
          </w:p>
        </w:tc>
        <w:tc>
          <w:tcPr>
            <w:tcW w:w="724" w:type="pct"/>
            <w:tcBorders>
              <w:top w:val="nil"/>
              <w:left w:val="nil"/>
              <w:bottom w:val="single" w:sz="4" w:space="0" w:color="auto"/>
              <w:right w:val="single" w:sz="4" w:space="0" w:color="auto"/>
            </w:tcBorders>
            <w:shd w:val="clear" w:color="auto" w:fill="auto"/>
            <w:vAlign w:val="center"/>
          </w:tcPr>
          <w:p w14:paraId="471388DB" w14:textId="77777777" w:rsidR="009D561B" w:rsidRPr="00681F8C" w:rsidRDefault="009D561B" w:rsidP="009D561B">
            <w:pPr>
              <w:spacing w:after="0" w:line="240" w:lineRule="auto"/>
              <w:rPr>
                <w:rFonts w:ascii="Calibri" w:eastAsia="Times New Roman" w:hAnsi="Calibri" w:cs="Calibri"/>
                <w:color w:val="000000"/>
                <w:lang w:val="et-EE" w:eastAsia="et-EE"/>
              </w:rPr>
            </w:pPr>
          </w:p>
        </w:tc>
        <w:tc>
          <w:tcPr>
            <w:tcW w:w="680" w:type="pct"/>
            <w:tcBorders>
              <w:top w:val="nil"/>
              <w:left w:val="nil"/>
              <w:bottom w:val="single" w:sz="4" w:space="0" w:color="auto"/>
              <w:right w:val="single" w:sz="4" w:space="0" w:color="auto"/>
            </w:tcBorders>
            <w:shd w:val="clear" w:color="auto" w:fill="auto"/>
            <w:vAlign w:val="center"/>
          </w:tcPr>
          <w:p w14:paraId="537603BD" w14:textId="77777777" w:rsidR="009D561B" w:rsidRPr="00681F8C" w:rsidRDefault="009D561B" w:rsidP="009D561B">
            <w:pPr>
              <w:spacing w:after="0" w:line="240" w:lineRule="auto"/>
              <w:rPr>
                <w:rFonts w:ascii="Calibri" w:eastAsia="Times New Roman" w:hAnsi="Calibri" w:cs="Calibri"/>
                <w:color w:val="000000"/>
                <w:lang w:val="et-EE" w:eastAsia="et-EE"/>
              </w:rPr>
            </w:pPr>
          </w:p>
        </w:tc>
        <w:tc>
          <w:tcPr>
            <w:tcW w:w="862" w:type="pct"/>
            <w:tcBorders>
              <w:top w:val="nil"/>
              <w:left w:val="nil"/>
              <w:bottom w:val="single" w:sz="4" w:space="0" w:color="auto"/>
              <w:right w:val="single" w:sz="4" w:space="0" w:color="auto"/>
            </w:tcBorders>
            <w:shd w:val="clear" w:color="auto" w:fill="auto"/>
            <w:vAlign w:val="center"/>
          </w:tcPr>
          <w:p w14:paraId="717A3CC1" w14:textId="77777777" w:rsidR="009D561B" w:rsidRDefault="009D561B" w:rsidP="009D561B">
            <w:pPr>
              <w:spacing w:after="0" w:line="240" w:lineRule="auto"/>
              <w:rPr>
                <w:rFonts w:ascii="Calibri" w:eastAsia="Times New Roman" w:hAnsi="Calibri" w:cs="Calibri"/>
                <w:color w:val="000000"/>
                <w:lang w:val="et-EE" w:eastAsia="et-EE"/>
              </w:rPr>
            </w:pPr>
          </w:p>
        </w:tc>
        <w:tc>
          <w:tcPr>
            <w:tcW w:w="907" w:type="pct"/>
            <w:tcBorders>
              <w:top w:val="nil"/>
              <w:left w:val="nil"/>
              <w:bottom w:val="single" w:sz="4" w:space="0" w:color="auto"/>
              <w:right w:val="single" w:sz="4" w:space="0" w:color="auto"/>
            </w:tcBorders>
            <w:shd w:val="clear" w:color="auto" w:fill="auto"/>
            <w:noWrap/>
            <w:vAlign w:val="center"/>
          </w:tcPr>
          <w:p w14:paraId="7979A2CF" w14:textId="77777777" w:rsidR="009D561B" w:rsidRPr="00681F8C" w:rsidRDefault="009D561B" w:rsidP="009D561B">
            <w:pPr>
              <w:spacing w:after="0" w:line="240" w:lineRule="auto"/>
              <w:rPr>
                <w:rFonts w:ascii="Calibri" w:eastAsia="Times New Roman" w:hAnsi="Calibri" w:cs="Calibri"/>
                <w:color w:val="000000"/>
                <w:lang w:val="et-EE" w:eastAsia="et-EE"/>
              </w:rPr>
            </w:pPr>
          </w:p>
        </w:tc>
        <w:tc>
          <w:tcPr>
            <w:tcW w:w="800" w:type="pct"/>
            <w:tcBorders>
              <w:top w:val="nil"/>
              <w:left w:val="nil"/>
              <w:bottom w:val="single" w:sz="4" w:space="0" w:color="auto"/>
              <w:right w:val="single" w:sz="4" w:space="0" w:color="auto"/>
            </w:tcBorders>
            <w:shd w:val="clear" w:color="auto" w:fill="auto"/>
            <w:noWrap/>
            <w:vAlign w:val="center"/>
          </w:tcPr>
          <w:p w14:paraId="4A67D237" w14:textId="77777777" w:rsidR="009D561B" w:rsidRDefault="009D561B" w:rsidP="009D561B">
            <w:pPr>
              <w:spacing w:after="0" w:line="240" w:lineRule="auto"/>
              <w:rPr>
                <w:rFonts w:ascii="Calibri" w:eastAsia="Times New Roman" w:hAnsi="Calibri" w:cs="Calibri"/>
                <w:color w:val="000000"/>
                <w:lang w:val="et-EE" w:eastAsia="et-EE"/>
              </w:rPr>
            </w:pPr>
          </w:p>
        </w:tc>
      </w:tr>
    </w:tbl>
    <w:p w14:paraId="3F93A41E" w14:textId="77777777" w:rsidR="00682A83" w:rsidRDefault="00B06992" w:rsidP="00681F8C"/>
    <w:sectPr w:rsidR="00682A83" w:rsidSect="001623D3">
      <w:headerReference w:type="default" r:id="rId136"/>
      <w:pgSz w:w="16838" w:h="11906" w:orient="landscape"/>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E8D2" w14:textId="77777777" w:rsidR="00552851" w:rsidRDefault="00552851" w:rsidP="00681F8C">
      <w:pPr>
        <w:spacing w:after="0" w:line="240" w:lineRule="auto"/>
      </w:pPr>
      <w:r>
        <w:separator/>
      </w:r>
    </w:p>
  </w:endnote>
  <w:endnote w:type="continuationSeparator" w:id="0">
    <w:p w14:paraId="61EA88F2" w14:textId="77777777" w:rsidR="00552851" w:rsidRDefault="00552851" w:rsidP="0068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8446" w14:textId="77777777" w:rsidR="00552851" w:rsidRDefault="00552851" w:rsidP="00681F8C">
      <w:pPr>
        <w:spacing w:after="0" w:line="240" w:lineRule="auto"/>
      </w:pPr>
      <w:r>
        <w:separator/>
      </w:r>
    </w:p>
  </w:footnote>
  <w:footnote w:type="continuationSeparator" w:id="0">
    <w:p w14:paraId="34A967F2" w14:textId="77777777" w:rsidR="00552851" w:rsidRDefault="00552851" w:rsidP="0068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586F" w14:textId="4EDABCF7" w:rsidR="00681F8C" w:rsidRDefault="001623D3">
    <w:pPr>
      <w:pStyle w:val="Header"/>
    </w:pPr>
    <w:r>
      <w:rPr>
        <w:noProof/>
      </w:rPr>
      <w:drawing>
        <wp:anchor distT="0" distB="0" distL="114300" distR="114300" simplePos="0" relativeHeight="251662336" behindDoc="0" locked="0" layoutInCell="1" allowOverlap="1" wp14:anchorId="1262F42A" wp14:editId="512CAD08">
          <wp:simplePos x="0" y="0"/>
          <wp:positionH relativeFrom="column">
            <wp:posOffset>6548755</wp:posOffset>
          </wp:positionH>
          <wp:positionV relativeFrom="paragraph">
            <wp:posOffset>26035</wp:posOffset>
          </wp:positionV>
          <wp:extent cx="2377440" cy="5613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7440" cy="5613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59264" behindDoc="1" locked="0" layoutInCell="1" allowOverlap="1" wp14:anchorId="42D372E9" wp14:editId="035BA350">
          <wp:simplePos x="0" y="0"/>
          <wp:positionH relativeFrom="column">
            <wp:posOffset>4629150</wp:posOffset>
          </wp:positionH>
          <wp:positionV relativeFrom="paragraph">
            <wp:posOffset>56515</wp:posOffset>
          </wp:positionV>
          <wp:extent cx="1609725" cy="535305"/>
          <wp:effectExtent l="0" t="0" r="9525" b="0"/>
          <wp:wrapTight wrapText="bothSides">
            <wp:wrapPolygon edited="0">
              <wp:start x="0" y="0"/>
              <wp:lineTo x="0" y="20754"/>
              <wp:lineTo x="21472" y="20754"/>
              <wp:lineTo x="21472" y="0"/>
              <wp:lineTo x="0" y="0"/>
            </wp:wrapPolygon>
          </wp:wrapTight>
          <wp:docPr id="2" name="Picture 2" descr="http://elering.ee/public/Infokeskus/.thumbnails/Elering_logo_eng_GENERATING_OPPORTUNITIES_520x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ring.ee/public/Infokeskus/.thumbnails/Elering_logo_eng_GENERATING_OPPORTUNITIES_520x17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9725" cy="535305"/>
                  </a:xfrm>
                  <a:prstGeom prst="rect">
                    <a:avLst/>
                  </a:prstGeom>
                  <a:noFill/>
                  <a:ln>
                    <a:noFill/>
                  </a:ln>
                </pic:spPr>
              </pic:pic>
            </a:graphicData>
          </a:graphic>
        </wp:anchor>
      </w:drawing>
    </w:r>
    <w:r>
      <w:rPr>
        <w:noProof/>
        <w:lang w:eastAsia="et-EE"/>
      </w:rPr>
      <w:drawing>
        <wp:anchor distT="0" distB="0" distL="114300" distR="114300" simplePos="0" relativeHeight="251661312" behindDoc="1" locked="0" layoutInCell="1" allowOverlap="1" wp14:anchorId="718CBC86" wp14:editId="3E0F918C">
          <wp:simplePos x="0" y="0"/>
          <wp:positionH relativeFrom="column">
            <wp:posOffset>2291080</wp:posOffset>
          </wp:positionH>
          <wp:positionV relativeFrom="paragraph">
            <wp:posOffset>-135255</wp:posOffset>
          </wp:positionV>
          <wp:extent cx="2076450" cy="895350"/>
          <wp:effectExtent l="0" t="0" r="0" b="0"/>
          <wp:wrapTight wrapText="bothSides">
            <wp:wrapPolygon edited="0">
              <wp:start x="13872" y="4596"/>
              <wp:lineTo x="1189" y="5974"/>
              <wp:lineTo x="1387" y="14247"/>
              <wp:lineTo x="1783" y="17004"/>
              <wp:lineTo x="19618" y="17004"/>
              <wp:lineTo x="20213" y="5974"/>
              <wp:lineTo x="14862" y="4596"/>
              <wp:lineTo x="13872" y="4596"/>
            </wp:wrapPolygon>
          </wp:wrapTight>
          <wp:docPr id="6" name="Picture 6" descr="C:\Users\kajali.kotsar\Desktop\AJ\Logod\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li.kotsar\Desktop\AJ\Logod\conexu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6450" cy="895350"/>
                  </a:xfrm>
                  <a:prstGeom prst="rect">
                    <a:avLst/>
                  </a:prstGeom>
                  <a:noFill/>
                  <a:ln>
                    <a:noFill/>
                  </a:ln>
                </pic:spPr>
              </pic:pic>
            </a:graphicData>
          </a:graphic>
        </wp:anchor>
      </w:drawing>
    </w:r>
    <w:r w:rsidR="00681F8C">
      <w:t xml:space="preserve">        </w:t>
    </w:r>
    <w:r>
      <w:rPr>
        <w:noProof/>
      </w:rPr>
      <w:drawing>
        <wp:inline distT="0" distB="0" distL="0" distR="0" wp14:anchorId="0ECBE736" wp14:editId="3F71C813">
          <wp:extent cx="18097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09750" cy="742950"/>
                  </a:xfrm>
                  <a:prstGeom prst="rect">
                    <a:avLst/>
                  </a:prstGeom>
                </pic:spPr>
              </pic:pic>
            </a:graphicData>
          </a:graphic>
        </wp:inline>
      </w:drawing>
    </w:r>
    <w:r w:rsidR="00681F8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8C"/>
    <w:rsid w:val="00073E11"/>
    <w:rsid w:val="00081E07"/>
    <w:rsid w:val="000B348A"/>
    <w:rsid w:val="000D13A4"/>
    <w:rsid w:val="000D4BBD"/>
    <w:rsid w:val="00157F4F"/>
    <w:rsid w:val="001623D3"/>
    <w:rsid w:val="00262072"/>
    <w:rsid w:val="002C3830"/>
    <w:rsid w:val="002E1ACF"/>
    <w:rsid w:val="002E1CEC"/>
    <w:rsid w:val="003864F2"/>
    <w:rsid w:val="004E7B1E"/>
    <w:rsid w:val="00552851"/>
    <w:rsid w:val="005A052A"/>
    <w:rsid w:val="005B03E9"/>
    <w:rsid w:val="005E16D9"/>
    <w:rsid w:val="006120BE"/>
    <w:rsid w:val="006422F4"/>
    <w:rsid w:val="00681F8C"/>
    <w:rsid w:val="006A7973"/>
    <w:rsid w:val="00711199"/>
    <w:rsid w:val="00740E27"/>
    <w:rsid w:val="00741DA7"/>
    <w:rsid w:val="00796640"/>
    <w:rsid w:val="007B0F49"/>
    <w:rsid w:val="007C798B"/>
    <w:rsid w:val="007E2546"/>
    <w:rsid w:val="008103DC"/>
    <w:rsid w:val="00892BCB"/>
    <w:rsid w:val="0089378C"/>
    <w:rsid w:val="008E318E"/>
    <w:rsid w:val="00906181"/>
    <w:rsid w:val="00960603"/>
    <w:rsid w:val="009761EC"/>
    <w:rsid w:val="009B294D"/>
    <w:rsid w:val="009D561B"/>
    <w:rsid w:val="00A57DA6"/>
    <w:rsid w:val="00B06992"/>
    <w:rsid w:val="00BA36ED"/>
    <w:rsid w:val="00C15A09"/>
    <w:rsid w:val="00C341EA"/>
    <w:rsid w:val="00C721A6"/>
    <w:rsid w:val="00C8278C"/>
    <w:rsid w:val="00CD5AD2"/>
    <w:rsid w:val="00CE3E71"/>
    <w:rsid w:val="00D7353E"/>
    <w:rsid w:val="00E00F89"/>
    <w:rsid w:val="00E24A1A"/>
    <w:rsid w:val="00E57559"/>
    <w:rsid w:val="00E70E23"/>
    <w:rsid w:val="00F67A92"/>
    <w:rsid w:val="00F957C2"/>
    <w:rsid w:val="00FC2D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9069F"/>
  <w15:chartTrackingRefBased/>
  <w15:docId w15:val="{F4C5A1D0-98E4-4505-B345-229B0669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F8C"/>
    <w:rPr>
      <w:color w:val="0563C1"/>
      <w:u w:val="single"/>
    </w:rPr>
  </w:style>
  <w:style w:type="character" w:styleId="UnresolvedMention">
    <w:name w:val="Unresolved Mention"/>
    <w:basedOn w:val="DefaultParagraphFont"/>
    <w:uiPriority w:val="99"/>
    <w:semiHidden/>
    <w:unhideWhenUsed/>
    <w:rsid w:val="00681F8C"/>
    <w:rPr>
      <w:color w:val="605E5C"/>
      <w:shd w:val="clear" w:color="auto" w:fill="E1DFDD"/>
    </w:rPr>
  </w:style>
  <w:style w:type="paragraph" w:styleId="Header">
    <w:name w:val="header"/>
    <w:basedOn w:val="Normal"/>
    <w:link w:val="HeaderChar"/>
    <w:uiPriority w:val="99"/>
    <w:unhideWhenUsed/>
    <w:rsid w:val="00681F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1F8C"/>
    <w:rPr>
      <w:lang w:val="en-GB"/>
    </w:rPr>
  </w:style>
  <w:style w:type="paragraph" w:styleId="Footer">
    <w:name w:val="footer"/>
    <w:basedOn w:val="Normal"/>
    <w:link w:val="FooterChar"/>
    <w:uiPriority w:val="99"/>
    <w:unhideWhenUsed/>
    <w:rsid w:val="00681F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1F8C"/>
    <w:rPr>
      <w:lang w:val="en-GB"/>
    </w:rPr>
  </w:style>
  <w:style w:type="character" w:styleId="FollowedHyperlink">
    <w:name w:val="FollowedHyperlink"/>
    <w:basedOn w:val="DefaultParagraphFont"/>
    <w:uiPriority w:val="99"/>
    <w:semiHidden/>
    <w:unhideWhenUsed/>
    <w:rsid w:val="008E318E"/>
    <w:rPr>
      <w:color w:val="954F72" w:themeColor="followedHyperlink"/>
      <w:u w:val="single"/>
    </w:rPr>
  </w:style>
  <w:style w:type="character" w:styleId="CommentReference">
    <w:name w:val="annotation reference"/>
    <w:basedOn w:val="DefaultParagraphFont"/>
    <w:uiPriority w:val="99"/>
    <w:semiHidden/>
    <w:unhideWhenUsed/>
    <w:rsid w:val="00C721A6"/>
    <w:rPr>
      <w:sz w:val="16"/>
      <w:szCs w:val="16"/>
    </w:rPr>
  </w:style>
  <w:style w:type="paragraph" w:styleId="CommentText">
    <w:name w:val="annotation text"/>
    <w:basedOn w:val="Normal"/>
    <w:link w:val="CommentTextChar"/>
    <w:uiPriority w:val="99"/>
    <w:semiHidden/>
    <w:unhideWhenUsed/>
    <w:rsid w:val="00C721A6"/>
    <w:pPr>
      <w:spacing w:line="240" w:lineRule="auto"/>
    </w:pPr>
    <w:rPr>
      <w:sz w:val="20"/>
      <w:szCs w:val="20"/>
    </w:rPr>
  </w:style>
  <w:style w:type="character" w:customStyle="1" w:styleId="CommentTextChar">
    <w:name w:val="Comment Text Char"/>
    <w:basedOn w:val="DefaultParagraphFont"/>
    <w:link w:val="CommentText"/>
    <w:uiPriority w:val="99"/>
    <w:semiHidden/>
    <w:rsid w:val="00C721A6"/>
    <w:rPr>
      <w:sz w:val="20"/>
      <w:szCs w:val="20"/>
      <w:lang w:val="en-GB"/>
    </w:rPr>
  </w:style>
  <w:style w:type="paragraph" w:styleId="CommentSubject">
    <w:name w:val="annotation subject"/>
    <w:basedOn w:val="CommentText"/>
    <w:next w:val="CommentText"/>
    <w:link w:val="CommentSubjectChar"/>
    <w:uiPriority w:val="99"/>
    <w:semiHidden/>
    <w:unhideWhenUsed/>
    <w:rsid w:val="00C721A6"/>
    <w:rPr>
      <w:b/>
      <w:bCs/>
    </w:rPr>
  </w:style>
  <w:style w:type="character" w:customStyle="1" w:styleId="CommentSubjectChar">
    <w:name w:val="Comment Subject Char"/>
    <w:basedOn w:val="CommentTextChar"/>
    <w:link w:val="CommentSubject"/>
    <w:uiPriority w:val="99"/>
    <w:semiHidden/>
    <w:rsid w:val="00C721A6"/>
    <w:rPr>
      <w:b/>
      <w:bCs/>
      <w:sz w:val="20"/>
      <w:szCs w:val="20"/>
      <w:lang w:val="en-GB"/>
    </w:rPr>
  </w:style>
  <w:style w:type="paragraph" w:styleId="BalloonText">
    <w:name w:val="Balloon Text"/>
    <w:basedOn w:val="Normal"/>
    <w:link w:val="BalloonTextChar"/>
    <w:uiPriority w:val="99"/>
    <w:semiHidden/>
    <w:unhideWhenUsed/>
    <w:rsid w:val="00C72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A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pacity.conexus.lv/?id=237&amp;lang=eng" TargetMode="External"/><Relationship Id="rId21" Type="http://schemas.openxmlformats.org/officeDocument/2006/relationships/hyperlink" Target="https://capacity.conexus.lv/?id=116&amp;lang=eng" TargetMode="External"/><Relationship Id="rId42" Type="http://schemas.openxmlformats.org/officeDocument/2006/relationships/hyperlink" Target="https://elering.ee/en/network-service" TargetMode="External"/><Relationship Id="rId63" Type="http://schemas.openxmlformats.org/officeDocument/2006/relationships/hyperlink" Target="https://www.entsog.eu/maps" TargetMode="External"/><Relationship Id="rId84" Type="http://schemas.openxmlformats.org/officeDocument/2006/relationships/hyperlink" Target="https://capacity.conexus.lv/?id=152&amp;lang=eng" TargetMode="External"/><Relationship Id="rId138" Type="http://schemas.openxmlformats.org/officeDocument/2006/relationships/theme" Target="theme/theme1.xml"/><Relationship Id="rId16" Type="http://schemas.openxmlformats.org/officeDocument/2006/relationships/hyperlink" Target="https://gasgrid.fi/en/our-services/" TargetMode="External"/><Relationship Id="rId107" Type="http://schemas.openxmlformats.org/officeDocument/2006/relationships/hyperlink" Target="https://gasgrid.fi/wp-content/uploads/Rules-for-gas-transmission-2.0-non-binding-English-version-3.pdf" TargetMode="External"/><Relationship Id="rId11" Type="http://schemas.openxmlformats.org/officeDocument/2006/relationships/hyperlink" Target="https://www.conexus.lv/operating-segments" TargetMode="External"/><Relationship Id="rId32" Type="http://schemas.openxmlformats.org/officeDocument/2006/relationships/hyperlink" Target="https://www.ambergrid.lt/en/services/balancing/rules-of-balancing" TargetMode="External"/><Relationship Id="rId37" Type="http://schemas.openxmlformats.org/officeDocument/2006/relationships/hyperlink" Target="https://capacity.conexus.lv/?id=170&amp;lang=eng" TargetMode="External"/><Relationship Id="rId53" Type="http://schemas.openxmlformats.org/officeDocument/2006/relationships/hyperlink" Target="https://elering.ee/en/network-service" TargetMode="External"/><Relationship Id="rId58" Type="http://schemas.openxmlformats.org/officeDocument/2006/relationships/hyperlink" Target="https://gasgrid.fi/wp-content/uploads/Rules-for-gas-transmission-2.0-non-binding-English-version-3.pdf" TargetMode="External"/><Relationship Id="rId74" Type="http://schemas.openxmlformats.org/officeDocument/2006/relationships/hyperlink" Target="https://www.ambergrid.lt/en/services/procedure-for-the-connection-to-Lithuanias-gas-transmission-system" TargetMode="External"/><Relationship Id="rId79" Type="http://schemas.openxmlformats.org/officeDocument/2006/relationships/hyperlink" Target="https://www.ambergrid.lt/en/services/procedures-in-case-of-emergency-maintenance-services" TargetMode="External"/><Relationship Id="rId102" Type="http://schemas.openxmlformats.org/officeDocument/2006/relationships/hyperlink" Target="https://umm.getbaltic.com/public-umm" TargetMode="External"/><Relationship Id="rId123" Type="http://schemas.openxmlformats.org/officeDocument/2006/relationships/hyperlink" Target="https://elering.ee/en/balancing-service" TargetMode="External"/><Relationship Id="rId128" Type="http://schemas.openxmlformats.org/officeDocument/2006/relationships/hyperlink" Target="https://gasgrid.fi/wp-content/uploads/Rules-for-gas-transmission-2.0-non-binding-English-version-3.pdf" TargetMode="External"/><Relationship Id="rId5" Type="http://schemas.openxmlformats.org/officeDocument/2006/relationships/styles" Target="styles.xml"/><Relationship Id="rId90" Type="http://schemas.openxmlformats.org/officeDocument/2006/relationships/hyperlink" Target="https://capacity-m3.conexus.lv/index.php?lang=eng" TargetMode="External"/><Relationship Id="rId95" Type="http://schemas.openxmlformats.org/officeDocument/2006/relationships/hyperlink" Target="https://www.ambergrid.lt/en/services/capacity-information/capacity-and-gas-flow-data" TargetMode="External"/><Relationship Id="rId22" Type="http://schemas.openxmlformats.org/officeDocument/2006/relationships/hyperlink" Target="https://elering.ee/en/network-service" TargetMode="External"/><Relationship Id="rId27" Type="http://schemas.openxmlformats.org/officeDocument/2006/relationships/hyperlink" Target="https://elering.ee/en/network-service" TargetMode="External"/><Relationship Id="rId43" Type="http://schemas.openxmlformats.org/officeDocument/2006/relationships/hyperlink" Target="https://gasgrid.fi/wp-content/uploads/Rules-for-gas-transmission-2.0-non-binding-English-version-3.pdf" TargetMode="External"/><Relationship Id="rId48" Type="http://schemas.openxmlformats.org/officeDocument/2006/relationships/hyperlink" Target="https://capacity.conexus.lv/?id=116&amp;lang=eng" TargetMode="External"/><Relationship Id="rId64" Type="http://schemas.openxmlformats.org/officeDocument/2006/relationships/hyperlink" Target="https://transparency.entsog.eu/" TargetMode="External"/><Relationship Id="rId69" Type="http://schemas.openxmlformats.org/officeDocument/2006/relationships/hyperlink" Target="https://www.ambergrid.lt/en/transmission-system/gas-transmission-system-in-Lithuania" TargetMode="External"/><Relationship Id="rId113" Type="http://schemas.openxmlformats.org/officeDocument/2006/relationships/hyperlink" Target="https://www.ambergrid.lt/en/services/capacity-information/secondarycapacitymarket" TargetMode="External"/><Relationship Id="rId118" Type="http://schemas.openxmlformats.org/officeDocument/2006/relationships/hyperlink" Target="https://capacity.conexus.lv/?id=207&amp;lang=eng" TargetMode="External"/><Relationship Id="rId134" Type="http://schemas.openxmlformats.org/officeDocument/2006/relationships/hyperlink" Target="https://gasgrid.fi/en/our-services/transmission-tariffs-and-service-price-list-2021/" TargetMode="External"/><Relationship Id="rId80" Type="http://schemas.openxmlformats.org/officeDocument/2006/relationships/hyperlink" Target="https://capacity.conexus.lv/?id=116&amp;lang=eng" TargetMode="External"/><Relationship Id="rId85" Type="http://schemas.openxmlformats.org/officeDocument/2006/relationships/hyperlink" Target="https://www.ambergrid.lt/en/services/capacity-information/calculation-of-technical-capacities" TargetMode="External"/><Relationship Id="rId12" Type="http://schemas.openxmlformats.org/officeDocument/2006/relationships/hyperlink" Target="https://capacity.conexus.lv/?id=116&amp;lang=eng" TargetMode="External"/><Relationship Id="rId17" Type="http://schemas.openxmlformats.org/officeDocument/2006/relationships/hyperlink" Target="https://gasgrid.fi/en/our-services/transmission-tariffs-and-service-price-list-2021/" TargetMode="External"/><Relationship Id="rId33" Type="http://schemas.openxmlformats.org/officeDocument/2006/relationships/hyperlink" Target="https://capacity.conexus.lv/?id=122&amp;lang=eng" TargetMode="External"/><Relationship Id="rId38" Type="http://schemas.openxmlformats.org/officeDocument/2006/relationships/hyperlink" Target="https://elering.ee/en/technical-possibilities-establishing-connection" TargetMode="External"/><Relationship Id="rId59" Type="http://schemas.openxmlformats.org/officeDocument/2006/relationships/hyperlink" Target="https://www.ambergrid.lt/en/services/balancing/rules-of-balancing" TargetMode="External"/><Relationship Id="rId103" Type="http://schemas.openxmlformats.org/officeDocument/2006/relationships/hyperlink" Target="https://transparency.entsog.eu/" TargetMode="External"/><Relationship Id="rId108" Type="http://schemas.openxmlformats.org/officeDocument/2006/relationships/hyperlink" Target="https://www.ambergrid.lt/en/services/maintenance-works" TargetMode="External"/><Relationship Id="rId124" Type="http://schemas.openxmlformats.org/officeDocument/2006/relationships/hyperlink" Target="https://energiavirasto.fi/documents/11120570/12872579/P%C3%A4%C3%A4t%C3%B6s%20siirtoverkonhaltijan%20tasehallinnan%20ja%20v%C3%A4hitt%C3%A4ismarkkinan%20taseselvityksen%20noudatettavien%20ehtojen%20vahvistaminen/bed88afc-2523-3d85-79eb-461b2cd76fdc" TargetMode="External"/><Relationship Id="rId129" Type="http://schemas.openxmlformats.org/officeDocument/2006/relationships/hyperlink" Target="https://www.ambergrid.lt/en/services/balancing/inbalancing" TargetMode="External"/><Relationship Id="rId54" Type="http://schemas.openxmlformats.org/officeDocument/2006/relationships/hyperlink" Target="https://gasgrid.fi/wp-content/uploads/Rules-for-gas-transmission-2.0-non-binding-English-version-3.pdf" TargetMode="External"/><Relationship Id="rId70" Type="http://schemas.openxmlformats.org/officeDocument/2006/relationships/hyperlink" Target="https://www.conexus.lv/connections-transmission-grid" TargetMode="External"/><Relationship Id="rId75" Type="http://schemas.openxmlformats.org/officeDocument/2006/relationships/hyperlink" Target="https://ec.europa.eu/energy/topics/energy-security/secure-gas-supplies/commissions-opinions-preventive-action-plans-and-emergency-plans-submitted-member-states-2019_en?redir=1" TargetMode="External"/><Relationship Id="rId91" Type="http://schemas.openxmlformats.org/officeDocument/2006/relationships/hyperlink" Target="https://transparency.entsog.eu/" TargetMode="External"/><Relationship Id="rId96" Type="http://schemas.openxmlformats.org/officeDocument/2006/relationships/hyperlink" Target="https://capacity.conexus.lv/?id=122&amp;lang=eng"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gasgrid.fi/wp-content/uploads/Rules-for-gas-transmission-2.0-non-binding-English-version-3.pdf" TargetMode="External"/><Relationship Id="rId28" Type="http://schemas.openxmlformats.org/officeDocument/2006/relationships/hyperlink" Target="https://elering.ee/en/balancing-service" TargetMode="External"/><Relationship Id="rId49" Type="http://schemas.openxmlformats.org/officeDocument/2006/relationships/hyperlink" Target="https://elering.ee/en/network-service" TargetMode="External"/><Relationship Id="rId114" Type="http://schemas.openxmlformats.org/officeDocument/2006/relationships/hyperlink" Target="https://capacity.conexus.lv/?id=116&amp;lang=eng" TargetMode="External"/><Relationship Id="rId119" Type="http://schemas.openxmlformats.org/officeDocument/2006/relationships/hyperlink" Target="https://elering.ee/en/balancing-service" TargetMode="External"/><Relationship Id="rId44" Type="http://schemas.openxmlformats.org/officeDocument/2006/relationships/hyperlink" Target="https://www.ambergrid.lt/en/services/transmissionnetworkcode" TargetMode="External"/><Relationship Id="rId60" Type="http://schemas.openxmlformats.org/officeDocument/2006/relationships/hyperlink" Target="https://gasgrid.fi/wp-content/uploads/Balticconnectorin-kapasiteetinjakomekanismia-koskeva-vahvistuspaatos.pdf" TargetMode="External"/><Relationship Id="rId65" Type="http://schemas.openxmlformats.org/officeDocument/2006/relationships/hyperlink" Target="https://elering.ee/en/gas-system" TargetMode="External"/><Relationship Id="rId81" Type="http://schemas.openxmlformats.org/officeDocument/2006/relationships/hyperlink" Target="https://capacity.conexus.lv/?id=170&amp;lang=eng" TargetMode="External"/><Relationship Id="rId86" Type="http://schemas.openxmlformats.org/officeDocument/2006/relationships/hyperlink" Target="https://capacity.conexus.lv/?id=160&amp;lang=eng" TargetMode="External"/><Relationship Id="rId130" Type="http://schemas.openxmlformats.org/officeDocument/2006/relationships/hyperlink" Target="https://capacity.conexus.lv/?id=189&amp;lang=eng" TargetMode="External"/><Relationship Id="rId135" Type="http://schemas.openxmlformats.org/officeDocument/2006/relationships/hyperlink" Target="https://www.ambergrid.lt/en/services/tariffs-prices/calculator" TargetMode="External"/><Relationship Id="rId13" Type="http://schemas.openxmlformats.org/officeDocument/2006/relationships/hyperlink" Target="https://capacity.conexus.lv/?id=189&amp;lang=eng" TargetMode="External"/><Relationship Id="rId18" Type="http://schemas.openxmlformats.org/officeDocument/2006/relationships/hyperlink" Target="https://www.ambergrid.lt/en/services/transmissionnetworkcode" TargetMode="External"/><Relationship Id="rId39" Type="http://schemas.openxmlformats.org/officeDocument/2006/relationships/hyperlink" Target="https://gasgrid.fi/en/gas-network/gas-transmission-network/" TargetMode="External"/><Relationship Id="rId109" Type="http://schemas.openxmlformats.org/officeDocument/2006/relationships/hyperlink" Target="https://umm.getbaltic.com/public-umm" TargetMode="External"/><Relationship Id="rId34" Type="http://schemas.openxmlformats.org/officeDocument/2006/relationships/hyperlink" Target="https://elering.ee/en/quality-network-gas" TargetMode="External"/><Relationship Id="rId50" Type="http://schemas.openxmlformats.org/officeDocument/2006/relationships/hyperlink" Target="https://gasgrid.fi/wp-content/uploads/Rules-for-gas-transmission-2.0-non-binding-English-version-3.pdf" TargetMode="External"/><Relationship Id="rId55" Type="http://schemas.openxmlformats.org/officeDocument/2006/relationships/hyperlink" Target="https://www.ambergrid.lt/en/services/transmissionnetworkcode" TargetMode="External"/><Relationship Id="rId76" Type="http://schemas.openxmlformats.org/officeDocument/2006/relationships/hyperlink" Target="https://ec.europa.eu/energy/topics/energy-security/secure-gas-supplies/commissions-opinions-preventive-action-plans-and-emergency-plans-submitted-member-states-2019_en?redir=1" TargetMode="External"/><Relationship Id="rId97" Type="http://schemas.openxmlformats.org/officeDocument/2006/relationships/hyperlink" Target="https://transparency.entsog.eu/" TargetMode="External"/><Relationship Id="rId104" Type="http://schemas.openxmlformats.org/officeDocument/2006/relationships/hyperlink" Target="https://capacity.conexus.lv/?id=139&amp;lang=eng" TargetMode="External"/><Relationship Id="rId120" Type="http://schemas.openxmlformats.org/officeDocument/2006/relationships/hyperlink" Target="https://elering.ee/en/balancing-service" TargetMode="External"/><Relationship Id="rId125" Type="http://schemas.openxmlformats.org/officeDocument/2006/relationships/hyperlink" Target="https://gasgrid.fi/wp-content/uploads/Rules-for-gas-transmission-2.0-non-binding-English-version-3.pdf" TargetMode="External"/><Relationship Id="rId7" Type="http://schemas.openxmlformats.org/officeDocument/2006/relationships/webSettings" Target="webSettings.xml"/><Relationship Id="rId71" Type="http://schemas.openxmlformats.org/officeDocument/2006/relationships/hyperlink" Target="https://elering.ee/en/technical-possibilities-establishing-connection" TargetMode="External"/><Relationship Id="rId92" Type="http://schemas.openxmlformats.org/officeDocument/2006/relationships/hyperlink" Target="https://dashboard.elering.ee/et/umm/gas" TargetMode="External"/><Relationship Id="rId2" Type="http://schemas.openxmlformats.org/officeDocument/2006/relationships/customXml" Target="../customXml/item2.xml"/><Relationship Id="rId29" Type="http://schemas.openxmlformats.org/officeDocument/2006/relationships/hyperlink" Target="https://gasgrid.fi/en/gas-market/legislation-and-regulation/" TargetMode="External"/><Relationship Id="rId24" Type="http://schemas.openxmlformats.org/officeDocument/2006/relationships/hyperlink" Target="https://gasgrid.fi/en/our-services/transmission-services/" TargetMode="External"/><Relationship Id="rId40" Type="http://schemas.openxmlformats.org/officeDocument/2006/relationships/hyperlink" Target="https://www.ambergrid.lt/en/transmission-system/gas-transmission-system-in-Lithuania" TargetMode="External"/><Relationship Id="rId45" Type="http://schemas.openxmlformats.org/officeDocument/2006/relationships/hyperlink" Target="https://capacity.conexus.lv/?id=116&amp;lang=eng" TargetMode="External"/><Relationship Id="rId66" Type="http://schemas.openxmlformats.org/officeDocument/2006/relationships/hyperlink" Target="https://www.entsog.eu/maps" TargetMode="External"/><Relationship Id="rId87" Type="http://schemas.openxmlformats.org/officeDocument/2006/relationships/hyperlink" Target="https://capacity.conexus.lv/?id=164&amp;lang=eng" TargetMode="External"/><Relationship Id="rId110" Type="http://schemas.openxmlformats.org/officeDocument/2006/relationships/hyperlink" Target="https://capacity.conexus.lv/?id=116&amp;lang=eng" TargetMode="External"/><Relationship Id="rId115" Type="http://schemas.openxmlformats.org/officeDocument/2006/relationships/hyperlink" Target="https://capacity.conexus.lv/?id=134&amp;lang=eng" TargetMode="External"/><Relationship Id="rId131" Type="http://schemas.openxmlformats.org/officeDocument/2006/relationships/hyperlink" Target="https://capacity.conexus.lv/?id=237&amp;lang=eng" TargetMode="External"/><Relationship Id="rId136" Type="http://schemas.openxmlformats.org/officeDocument/2006/relationships/header" Target="header1.xml"/><Relationship Id="rId61" Type="http://schemas.openxmlformats.org/officeDocument/2006/relationships/hyperlink" Target="https://gasgrid.fi/en/our-services/transmission-tariffs-and-service-price-list-2021/" TargetMode="External"/><Relationship Id="rId82" Type="http://schemas.openxmlformats.org/officeDocument/2006/relationships/hyperlink" Target="https://gasgrid.fi/wp-content/uploads/Rules-for-gas-transmission-2.0-non-binding-English-version-3.pdf" TargetMode="External"/><Relationship Id="rId19" Type="http://schemas.openxmlformats.org/officeDocument/2006/relationships/hyperlink" Target="https://www.ambergrid.lt/en/services/balancing/rules-of-balancing" TargetMode="External"/><Relationship Id="rId14" Type="http://schemas.openxmlformats.org/officeDocument/2006/relationships/hyperlink" Target="https://elering.ee/en/network-service" TargetMode="External"/><Relationship Id="rId30" Type="http://schemas.openxmlformats.org/officeDocument/2006/relationships/hyperlink" Target="https://gasgrid.fi/en/gas-market/market-rules-and-recommendations/" TargetMode="External"/><Relationship Id="rId35" Type="http://schemas.openxmlformats.org/officeDocument/2006/relationships/hyperlink" Target="https://gasgrid.fi/wp-content/uploads/Rules-for-gas-transmission-2.0-non-binding-English-version-3.pdf" TargetMode="External"/><Relationship Id="rId56" Type="http://schemas.openxmlformats.org/officeDocument/2006/relationships/hyperlink" Target="https://capacity.conexus.lv/?id=116&amp;lang=eng" TargetMode="External"/><Relationship Id="rId77" Type="http://schemas.openxmlformats.org/officeDocument/2006/relationships/hyperlink" Target="https://ec.europa.eu/energy/topics/energy-security/secure-gas-supplies/commissions-opinions-preventive-action-plans-and-emergency-plans-submitted-member-states-2019_en?redir=1" TargetMode="External"/><Relationship Id="rId100" Type="http://schemas.openxmlformats.org/officeDocument/2006/relationships/hyperlink" Target="https://www.ambergrid.lt/en/services/gas-calendar" TargetMode="External"/><Relationship Id="rId105" Type="http://schemas.openxmlformats.org/officeDocument/2006/relationships/hyperlink" Target="https://umm.getbaltic.com/public-umm" TargetMode="External"/><Relationship Id="rId126" Type="http://schemas.openxmlformats.org/officeDocument/2006/relationships/hyperlink" Target="https://capacity.conexus.lv/?id=169&amp;lang=eng" TargetMode="External"/><Relationship Id="rId8" Type="http://schemas.openxmlformats.org/officeDocument/2006/relationships/footnotes" Target="footnotes.xml"/><Relationship Id="rId51" Type="http://schemas.openxmlformats.org/officeDocument/2006/relationships/hyperlink" Target="https://www.ambergrid.lt/en/services/transmissionnetworkcode" TargetMode="External"/><Relationship Id="rId72" Type="http://schemas.openxmlformats.org/officeDocument/2006/relationships/hyperlink" Target="https://gasgrid.fi/en/our-services/connection-services/" TargetMode="External"/><Relationship Id="rId93" Type="http://schemas.openxmlformats.org/officeDocument/2006/relationships/hyperlink" Target="https://capacity.conexus.lv/?id=160&amp;lang=eng" TargetMode="External"/><Relationship Id="rId98" Type="http://schemas.openxmlformats.org/officeDocument/2006/relationships/hyperlink" Target="https://dashboard.elering.ee/et/umm/gas" TargetMode="External"/><Relationship Id="rId121" Type="http://schemas.openxmlformats.org/officeDocument/2006/relationships/hyperlink" Target="https://capacity.conexus.lv/?id=227&amp;lang=eng" TargetMode="External"/><Relationship Id="rId3" Type="http://schemas.openxmlformats.org/officeDocument/2006/relationships/customXml" Target="../customXml/item3.xml"/><Relationship Id="rId25" Type="http://schemas.openxmlformats.org/officeDocument/2006/relationships/hyperlink" Target="https://www.ambergrid.lt/en/services/contracts" TargetMode="External"/><Relationship Id="rId46" Type="http://schemas.openxmlformats.org/officeDocument/2006/relationships/hyperlink" Target="https://gasgrid.fi/wp-content/uploads/Rules-for-gas-transmission-2.0-non-binding-English-version-3.pdf" TargetMode="External"/><Relationship Id="rId67" Type="http://schemas.openxmlformats.org/officeDocument/2006/relationships/hyperlink" Target="https://transparency.entsog.eu/" TargetMode="External"/><Relationship Id="rId116" Type="http://schemas.openxmlformats.org/officeDocument/2006/relationships/hyperlink" Target="https://capacity.conexus.lv/?id=227&amp;lang=eng" TargetMode="External"/><Relationship Id="rId137" Type="http://schemas.openxmlformats.org/officeDocument/2006/relationships/fontTable" Target="fontTable.xml"/><Relationship Id="rId20" Type="http://schemas.openxmlformats.org/officeDocument/2006/relationships/hyperlink" Target="https://www.ambergrid.lt/en/services/tariffs-prices/tariffs-effective-from-1-january-2021" TargetMode="External"/><Relationship Id="rId41" Type="http://schemas.openxmlformats.org/officeDocument/2006/relationships/hyperlink" Target="https://capacity.conexus.lv/?id=116&amp;lang=eng" TargetMode="External"/><Relationship Id="rId62" Type="http://schemas.openxmlformats.org/officeDocument/2006/relationships/hyperlink" Target="https://www.conexus.lv/operating-segments" TargetMode="External"/><Relationship Id="rId83" Type="http://schemas.openxmlformats.org/officeDocument/2006/relationships/hyperlink" Target="https://www.ambergrid.lt/en/services/transmissionnetworkcode" TargetMode="External"/><Relationship Id="rId88" Type="http://schemas.openxmlformats.org/officeDocument/2006/relationships/hyperlink" Target="https://capacity.conexus.lv/?id=158&amp;lang=eng" TargetMode="External"/><Relationship Id="rId111" Type="http://schemas.openxmlformats.org/officeDocument/2006/relationships/hyperlink" Target="https://elering.ee/en/network-service" TargetMode="External"/><Relationship Id="rId132" Type="http://schemas.openxmlformats.org/officeDocument/2006/relationships/hyperlink" Target="https://elering.ee/en/network-service" TargetMode="External"/><Relationship Id="rId15" Type="http://schemas.openxmlformats.org/officeDocument/2006/relationships/hyperlink" Target="https://www.conexus.lv/operating-segments" TargetMode="External"/><Relationship Id="rId36" Type="http://schemas.openxmlformats.org/officeDocument/2006/relationships/hyperlink" Target="https://www.ambergrid.lt/en/services/gas-calendar" TargetMode="External"/><Relationship Id="rId57" Type="http://schemas.openxmlformats.org/officeDocument/2006/relationships/hyperlink" Target="file:///C:\Users\myotymik\AppData\Local\Microsoft\Windows\INetCache\Content.Outlook\N7X1WQ1T\Rules%20on%20balancing" TargetMode="External"/><Relationship Id="rId106" Type="http://schemas.openxmlformats.org/officeDocument/2006/relationships/hyperlink" Target="https://umm.getbaltic.com/public-umm" TargetMode="External"/><Relationship Id="rId127" Type="http://schemas.openxmlformats.org/officeDocument/2006/relationships/hyperlink" Target="https://capacity.conexus.lv/?id=169&amp;lang=eng" TargetMode="External"/><Relationship Id="rId10" Type="http://schemas.openxmlformats.org/officeDocument/2006/relationships/hyperlink" Target="https://eur-lex.europa.eu/legal-content/EN/TXT/?uri=CELEX%3A32010D0685" TargetMode="External"/><Relationship Id="rId31" Type="http://schemas.openxmlformats.org/officeDocument/2006/relationships/hyperlink" Target="https://www.ambergrid.lt/en/services/transmissionnetworkcode" TargetMode="External"/><Relationship Id="rId52" Type="http://schemas.openxmlformats.org/officeDocument/2006/relationships/hyperlink" Target="https://capacity.conexus.lv/?id=116&amp;lang=eng" TargetMode="External"/><Relationship Id="rId73" Type="http://schemas.openxmlformats.org/officeDocument/2006/relationships/hyperlink" Target="https://gasgrid.fi/wp-content/uploads/Vahvistusp%C3%A4%C3%A4t%C3%B6s-Gasgrid-Finland-Oyn-liittymisehdot-ja-menetelm%C3%A4t-liitt%C3%A4misest%C3%A4-peritt%C3%A4vien-maksujen-m%C3%A4%C3%A4ritt%C3%A4miseksi.pdf" TargetMode="External"/><Relationship Id="rId78" Type="http://schemas.openxmlformats.org/officeDocument/2006/relationships/hyperlink" Target="https://gasgrid.fi/wp-content/uploads/Rules-for-gas-transmission-2.0-non-binding-English-version-3.pdf" TargetMode="External"/><Relationship Id="rId94" Type="http://schemas.openxmlformats.org/officeDocument/2006/relationships/hyperlink" Target="https://transparency.entsog.eu/" TargetMode="External"/><Relationship Id="rId99" Type="http://schemas.openxmlformats.org/officeDocument/2006/relationships/hyperlink" Target="https://transparency.entsog.eu/" TargetMode="External"/><Relationship Id="rId101" Type="http://schemas.openxmlformats.org/officeDocument/2006/relationships/hyperlink" Target="https://capacity.conexus.lv/?id=139&amp;lang=eng" TargetMode="External"/><Relationship Id="rId122" Type="http://schemas.openxmlformats.org/officeDocument/2006/relationships/hyperlink" Target="https://elering.ee/en/balancing-service" TargetMode="External"/><Relationship Id="rId4" Type="http://schemas.openxmlformats.org/officeDocument/2006/relationships/customXml" Target="../customXml/item4.xml"/><Relationship Id="rId9" Type="http://schemas.openxmlformats.org/officeDocument/2006/relationships/endnotes" Target="endnotes.xml"/><Relationship Id="rId26" Type="http://schemas.openxmlformats.org/officeDocument/2006/relationships/hyperlink" Target="https://capacity.conexus.lv/?id=116&amp;lang=eng" TargetMode="External"/><Relationship Id="rId47" Type="http://schemas.openxmlformats.org/officeDocument/2006/relationships/hyperlink" Target="https://www.ambergrid.lt/en/services/transmissionnetworkcode" TargetMode="External"/><Relationship Id="rId68" Type="http://schemas.openxmlformats.org/officeDocument/2006/relationships/hyperlink" Target="https://gasgrid.fi/en/gas-network/gas-transmission-network/" TargetMode="External"/><Relationship Id="rId89" Type="http://schemas.openxmlformats.org/officeDocument/2006/relationships/hyperlink" Target="https://transparency.entsog.eu/" TargetMode="External"/><Relationship Id="rId112" Type="http://schemas.openxmlformats.org/officeDocument/2006/relationships/hyperlink" Target="https://gasgrid.fi/wp-content/uploads/Rules-for-gas-transmission-2.0-non-binding-English-version-3.pdf" TargetMode="External"/><Relationship Id="rId133" Type="http://schemas.openxmlformats.org/officeDocument/2006/relationships/hyperlink" Target="https://elering.ee/en/gas-tariff-comparison-tab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C498F3481F740B3A9C27D78A1D6CD" ma:contentTypeVersion="12" ma:contentTypeDescription="Create a new document." ma:contentTypeScope="" ma:versionID="ad484b4616285f5b5c4602be40a03c30">
  <xsd:schema xmlns:xsd="http://www.w3.org/2001/XMLSchema" xmlns:xs="http://www.w3.org/2001/XMLSchema" xmlns:p="http://schemas.microsoft.com/office/2006/metadata/properties" xmlns:ns3="2c3961e6-ef2b-4ea3-ba03-7d2037ca4607" xmlns:ns4="dc67e260-9834-4108-b621-c7c5d4d280b9" targetNamespace="http://schemas.microsoft.com/office/2006/metadata/properties" ma:root="true" ma:fieldsID="9d6dfb827f7f2932432f1cfe275843df" ns3:_="" ns4:_="">
    <xsd:import namespace="2c3961e6-ef2b-4ea3-ba03-7d2037ca4607"/>
    <xsd:import namespace="dc67e260-9834-4108-b621-c7c5d4d28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961e6-ef2b-4ea3-ba03-7d2037ca4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e260-9834-4108-b621-c7c5d4d280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BED2-2143-4C76-BB7E-153C5E457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961e6-ef2b-4ea3-ba03-7d2037ca4607"/>
    <ds:schemaRef ds:uri="dc67e260-9834-4108-b621-c7c5d4d28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4A24A-3C88-488B-A162-D275410E0587}">
  <ds:schemaRefs>
    <ds:schemaRef ds:uri="http://schemas.microsoft.com/sharepoint/v3/contenttype/forms"/>
  </ds:schemaRefs>
</ds:datastoreItem>
</file>

<file path=customXml/itemProps3.xml><?xml version="1.0" encoding="utf-8"?>
<ds:datastoreItem xmlns:ds="http://schemas.openxmlformats.org/officeDocument/2006/customXml" ds:itemID="{BF6024FA-51EC-4347-9CC2-7261F16B60DB}">
  <ds:schemaRefs>
    <ds:schemaRef ds:uri="http://purl.org/dc/elements/1.1/"/>
    <ds:schemaRef ds:uri="http://schemas.openxmlformats.org/package/2006/metadata/core-properties"/>
    <ds:schemaRef ds:uri="dc67e260-9834-4108-b621-c7c5d4d280b9"/>
    <ds:schemaRef ds:uri="http://schemas.microsoft.com/office/2006/documentManagement/types"/>
    <ds:schemaRef ds:uri="http://schemas.microsoft.com/office/infopath/2007/PartnerControls"/>
    <ds:schemaRef ds:uri="2c3961e6-ef2b-4ea3-ba03-7d2037ca4607"/>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99B5D21-F7E3-489A-9A54-1034CB6E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2263</Words>
  <Characters>18331</Characters>
  <Application>Microsoft Office Word</Application>
  <DocSecurity>4</DocSecurity>
  <Lines>152</Lines>
  <Paragraphs>41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Veiko Aunapuu</dc:creator>
  <cp:keywords/>
  <dc:description/>
  <cp:lastModifiedBy>Myötyri Mika</cp:lastModifiedBy>
  <cp:revision>2</cp:revision>
  <dcterms:created xsi:type="dcterms:W3CDTF">2021-06-29T06:00:00Z</dcterms:created>
  <dcterms:modified xsi:type="dcterms:W3CDTF">2021-06-29T06:00:00Z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0x010100926C498F3481F740B3A9C27D78A1D6CD</vt:lpwstr>
  </property>
</Properties>
</file>