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209543" w14:textId="77777777" w:rsidR="00612147" w:rsidRDefault="00612147" w:rsidP="00612147">
      <w:pPr>
        <w:pStyle w:val="Title"/>
        <w:jc w:val="both"/>
      </w:pPr>
    </w:p>
    <w:p w14:paraId="5CEA08E0" w14:textId="77777777" w:rsidR="00612147" w:rsidRDefault="00612147" w:rsidP="00612147">
      <w:pPr>
        <w:pStyle w:val="Title"/>
        <w:jc w:val="both"/>
      </w:pPr>
    </w:p>
    <w:p w14:paraId="172520FC" w14:textId="77777777" w:rsidR="00612147" w:rsidRDefault="00612147" w:rsidP="00612147">
      <w:pPr>
        <w:pStyle w:val="Title"/>
        <w:jc w:val="both"/>
      </w:pPr>
    </w:p>
    <w:p w14:paraId="712BD7D2" w14:textId="77777777" w:rsidR="00612147" w:rsidRDefault="00612147" w:rsidP="00612147">
      <w:pPr>
        <w:pStyle w:val="Title"/>
        <w:jc w:val="center"/>
      </w:pPr>
    </w:p>
    <w:p w14:paraId="4A2B406D" w14:textId="3CFF4D4F" w:rsidR="00EB587E" w:rsidRPr="00F35F18" w:rsidRDefault="001638DD" w:rsidP="00612147">
      <w:pPr>
        <w:pStyle w:val="Title"/>
        <w:jc w:val="center"/>
      </w:pPr>
      <w:r>
        <w:t>Strateegilise reservi</w:t>
      </w:r>
      <w:r w:rsidR="00766728" w:rsidRPr="00F35F18">
        <w:t xml:space="preserve"> kontseptsiooni</w:t>
      </w:r>
      <w:r>
        <w:t xml:space="preserve"> eelnõu</w:t>
      </w:r>
    </w:p>
    <w:p w14:paraId="02840003" w14:textId="77777777" w:rsidR="000C031F" w:rsidRDefault="000C031F" w:rsidP="00612147">
      <w:pPr>
        <w:jc w:val="both"/>
      </w:pPr>
      <w:r>
        <w:br w:type="page"/>
      </w:r>
    </w:p>
    <w:sdt>
      <w:sdtPr>
        <w:rPr>
          <w:rFonts w:asciiTheme="minorHAnsi" w:eastAsiaTheme="minorHAnsi" w:hAnsiTheme="minorHAnsi" w:cstheme="minorBidi"/>
          <w:color w:val="auto"/>
          <w:sz w:val="22"/>
          <w:szCs w:val="22"/>
          <w:lang w:val="et-EE"/>
        </w:rPr>
        <w:id w:val="-2063240386"/>
        <w:docPartObj>
          <w:docPartGallery w:val="Table of Contents"/>
          <w:docPartUnique/>
        </w:docPartObj>
      </w:sdtPr>
      <w:sdtEndPr>
        <w:rPr>
          <w:noProof/>
        </w:rPr>
      </w:sdtEndPr>
      <w:sdtContent>
        <w:p w14:paraId="7D8E5335" w14:textId="2DF3F17C" w:rsidR="00F62518" w:rsidRPr="00612147" w:rsidRDefault="00F62518" w:rsidP="00612147">
          <w:pPr>
            <w:pStyle w:val="TOCHeading"/>
            <w:jc w:val="both"/>
            <w:rPr>
              <w:rStyle w:val="Heading1Char"/>
              <w:color w:val="auto"/>
            </w:rPr>
          </w:pPr>
          <w:r w:rsidRPr="00612147">
            <w:rPr>
              <w:rStyle w:val="Heading1Char"/>
              <w:color w:val="auto"/>
            </w:rPr>
            <w:t>Sisukord</w:t>
          </w:r>
        </w:p>
        <w:p w14:paraId="480F070E" w14:textId="57CB07A0" w:rsidR="00544630" w:rsidRDefault="00F62518">
          <w:pPr>
            <w:pStyle w:val="TOC1"/>
            <w:tabs>
              <w:tab w:val="right" w:leader="dot" w:pos="9062"/>
            </w:tabs>
            <w:rPr>
              <w:rFonts w:eastAsiaTheme="minorEastAsia"/>
              <w:noProof/>
              <w:lang w:eastAsia="et-EE"/>
            </w:rPr>
          </w:pPr>
          <w:r>
            <w:fldChar w:fldCharType="begin"/>
          </w:r>
          <w:r>
            <w:instrText xml:space="preserve"> TOC \o "1-3" \h \z \u </w:instrText>
          </w:r>
          <w:r>
            <w:fldChar w:fldCharType="separate"/>
          </w:r>
          <w:hyperlink w:anchor="_Toc86157123" w:history="1">
            <w:r w:rsidR="00544630" w:rsidRPr="00C53449">
              <w:rPr>
                <w:rStyle w:val="Hyperlink"/>
                <w:noProof/>
              </w:rPr>
              <w:t>Lühendite loetelu</w:t>
            </w:r>
            <w:r w:rsidR="00544630">
              <w:rPr>
                <w:noProof/>
                <w:webHidden/>
              </w:rPr>
              <w:tab/>
            </w:r>
            <w:r w:rsidR="00544630">
              <w:rPr>
                <w:noProof/>
                <w:webHidden/>
              </w:rPr>
              <w:fldChar w:fldCharType="begin"/>
            </w:r>
            <w:r w:rsidR="00544630">
              <w:rPr>
                <w:noProof/>
                <w:webHidden/>
              </w:rPr>
              <w:instrText xml:space="preserve"> PAGEREF _Toc86157123 \h </w:instrText>
            </w:r>
            <w:r w:rsidR="00544630">
              <w:rPr>
                <w:noProof/>
                <w:webHidden/>
              </w:rPr>
            </w:r>
            <w:r w:rsidR="00544630">
              <w:rPr>
                <w:noProof/>
                <w:webHidden/>
              </w:rPr>
              <w:fldChar w:fldCharType="separate"/>
            </w:r>
            <w:r w:rsidR="004D6392">
              <w:rPr>
                <w:noProof/>
                <w:webHidden/>
              </w:rPr>
              <w:t>3</w:t>
            </w:r>
            <w:r w:rsidR="00544630">
              <w:rPr>
                <w:noProof/>
                <w:webHidden/>
              </w:rPr>
              <w:fldChar w:fldCharType="end"/>
            </w:r>
          </w:hyperlink>
        </w:p>
        <w:p w14:paraId="038E8C8A" w14:textId="7B75D4DF" w:rsidR="00544630" w:rsidRDefault="004D6392">
          <w:pPr>
            <w:pStyle w:val="TOC1"/>
            <w:tabs>
              <w:tab w:val="left" w:pos="440"/>
              <w:tab w:val="right" w:leader="dot" w:pos="9062"/>
            </w:tabs>
            <w:rPr>
              <w:rFonts w:eastAsiaTheme="minorEastAsia"/>
              <w:noProof/>
              <w:lang w:eastAsia="et-EE"/>
            </w:rPr>
          </w:pPr>
          <w:hyperlink w:anchor="_Toc86157124" w:history="1">
            <w:r w:rsidR="00544630" w:rsidRPr="00C53449">
              <w:rPr>
                <w:rStyle w:val="Hyperlink"/>
                <w:noProof/>
              </w:rPr>
              <w:t>1.</w:t>
            </w:r>
            <w:r w:rsidR="00544630">
              <w:rPr>
                <w:rFonts w:eastAsiaTheme="minorEastAsia"/>
                <w:noProof/>
                <w:lang w:eastAsia="et-EE"/>
              </w:rPr>
              <w:tab/>
            </w:r>
            <w:r w:rsidR="00544630" w:rsidRPr="00C53449">
              <w:rPr>
                <w:rStyle w:val="Hyperlink"/>
                <w:noProof/>
              </w:rPr>
              <w:t>Võimsusmehhanism ja kontseptsioonidokumendi eesmärk</w:t>
            </w:r>
            <w:r w:rsidR="00544630">
              <w:rPr>
                <w:noProof/>
                <w:webHidden/>
              </w:rPr>
              <w:tab/>
            </w:r>
            <w:r w:rsidR="00544630">
              <w:rPr>
                <w:noProof/>
                <w:webHidden/>
              </w:rPr>
              <w:fldChar w:fldCharType="begin"/>
            </w:r>
            <w:r w:rsidR="00544630">
              <w:rPr>
                <w:noProof/>
                <w:webHidden/>
              </w:rPr>
              <w:instrText xml:space="preserve"> PAGEREF _Toc86157124 \h </w:instrText>
            </w:r>
            <w:r w:rsidR="00544630">
              <w:rPr>
                <w:noProof/>
                <w:webHidden/>
              </w:rPr>
            </w:r>
            <w:r w:rsidR="00544630">
              <w:rPr>
                <w:noProof/>
                <w:webHidden/>
              </w:rPr>
              <w:fldChar w:fldCharType="separate"/>
            </w:r>
            <w:r>
              <w:rPr>
                <w:noProof/>
                <w:webHidden/>
              </w:rPr>
              <w:t>4</w:t>
            </w:r>
            <w:r w:rsidR="00544630">
              <w:rPr>
                <w:noProof/>
                <w:webHidden/>
              </w:rPr>
              <w:fldChar w:fldCharType="end"/>
            </w:r>
          </w:hyperlink>
        </w:p>
        <w:p w14:paraId="0EB2458E" w14:textId="34BEB027" w:rsidR="00544630" w:rsidRDefault="004D6392">
          <w:pPr>
            <w:pStyle w:val="TOC1"/>
            <w:tabs>
              <w:tab w:val="left" w:pos="440"/>
              <w:tab w:val="right" w:leader="dot" w:pos="9062"/>
            </w:tabs>
            <w:rPr>
              <w:rFonts w:eastAsiaTheme="minorEastAsia"/>
              <w:noProof/>
              <w:lang w:eastAsia="et-EE"/>
            </w:rPr>
          </w:pPr>
          <w:hyperlink w:anchor="_Toc86157125" w:history="1">
            <w:r w:rsidR="00544630" w:rsidRPr="00C53449">
              <w:rPr>
                <w:rStyle w:val="Hyperlink"/>
                <w:noProof/>
              </w:rPr>
              <w:t>2.</w:t>
            </w:r>
            <w:r w:rsidR="00544630">
              <w:rPr>
                <w:rFonts w:eastAsiaTheme="minorEastAsia"/>
                <w:noProof/>
                <w:lang w:eastAsia="et-EE"/>
              </w:rPr>
              <w:tab/>
            </w:r>
            <w:r w:rsidR="00544630" w:rsidRPr="00C53449">
              <w:rPr>
                <w:rStyle w:val="Hyperlink"/>
                <w:noProof/>
              </w:rPr>
              <w:t>Võimsusmehhanismi vajaduse tekkimine</w:t>
            </w:r>
            <w:r w:rsidR="00544630">
              <w:rPr>
                <w:noProof/>
                <w:webHidden/>
              </w:rPr>
              <w:tab/>
            </w:r>
            <w:r w:rsidR="00544630">
              <w:rPr>
                <w:noProof/>
                <w:webHidden/>
              </w:rPr>
              <w:fldChar w:fldCharType="begin"/>
            </w:r>
            <w:r w:rsidR="00544630">
              <w:rPr>
                <w:noProof/>
                <w:webHidden/>
              </w:rPr>
              <w:instrText xml:space="preserve"> PAGEREF _Toc86157125 \h </w:instrText>
            </w:r>
            <w:r w:rsidR="00544630">
              <w:rPr>
                <w:noProof/>
                <w:webHidden/>
              </w:rPr>
            </w:r>
            <w:r w:rsidR="00544630">
              <w:rPr>
                <w:noProof/>
                <w:webHidden/>
              </w:rPr>
              <w:fldChar w:fldCharType="separate"/>
            </w:r>
            <w:r>
              <w:rPr>
                <w:noProof/>
                <w:webHidden/>
              </w:rPr>
              <w:t>5</w:t>
            </w:r>
            <w:r w:rsidR="00544630">
              <w:rPr>
                <w:noProof/>
                <w:webHidden/>
              </w:rPr>
              <w:fldChar w:fldCharType="end"/>
            </w:r>
          </w:hyperlink>
        </w:p>
        <w:p w14:paraId="68230DA2" w14:textId="69197DEA" w:rsidR="00544630" w:rsidRDefault="004D6392">
          <w:pPr>
            <w:pStyle w:val="TOC2"/>
            <w:tabs>
              <w:tab w:val="left" w:pos="880"/>
              <w:tab w:val="right" w:leader="dot" w:pos="9062"/>
            </w:tabs>
            <w:rPr>
              <w:rFonts w:eastAsiaTheme="minorEastAsia"/>
              <w:noProof/>
              <w:lang w:eastAsia="et-EE"/>
            </w:rPr>
          </w:pPr>
          <w:hyperlink w:anchor="_Toc86157126" w:history="1">
            <w:r w:rsidR="00544630" w:rsidRPr="00C53449">
              <w:rPr>
                <w:rStyle w:val="Hyperlink"/>
                <w:noProof/>
              </w:rPr>
              <w:t>2.1.</w:t>
            </w:r>
            <w:r w:rsidR="00544630">
              <w:rPr>
                <w:rFonts w:eastAsiaTheme="minorEastAsia"/>
                <w:noProof/>
                <w:lang w:eastAsia="et-EE"/>
              </w:rPr>
              <w:tab/>
            </w:r>
            <w:r w:rsidR="00544630" w:rsidRPr="00C53449">
              <w:rPr>
                <w:rStyle w:val="Hyperlink"/>
                <w:noProof/>
              </w:rPr>
              <w:t>Varustuskindluse norm</w:t>
            </w:r>
            <w:r w:rsidR="00544630">
              <w:rPr>
                <w:noProof/>
                <w:webHidden/>
              </w:rPr>
              <w:tab/>
            </w:r>
            <w:r w:rsidR="00544630">
              <w:rPr>
                <w:noProof/>
                <w:webHidden/>
              </w:rPr>
              <w:fldChar w:fldCharType="begin"/>
            </w:r>
            <w:r w:rsidR="00544630">
              <w:rPr>
                <w:noProof/>
                <w:webHidden/>
              </w:rPr>
              <w:instrText xml:space="preserve"> PAGEREF _Toc86157126 \h </w:instrText>
            </w:r>
            <w:r w:rsidR="00544630">
              <w:rPr>
                <w:noProof/>
                <w:webHidden/>
              </w:rPr>
            </w:r>
            <w:r w:rsidR="00544630">
              <w:rPr>
                <w:noProof/>
                <w:webHidden/>
              </w:rPr>
              <w:fldChar w:fldCharType="separate"/>
            </w:r>
            <w:r>
              <w:rPr>
                <w:noProof/>
                <w:webHidden/>
              </w:rPr>
              <w:t>5</w:t>
            </w:r>
            <w:r w:rsidR="00544630">
              <w:rPr>
                <w:noProof/>
                <w:webHidden/>
              </w:rPr>
              <w:fldChar w:fldCharType="end"/>
            </w:r>
          </w:hyperlink>
        </w:p>
        <w:p w14:paraId="23CEF0C5" w14:textId="3C87CB8F" w:rsidR="00544630" w:rsidRDefault="004D6392">
          <w:pPr>
            <w:pStyle w:val="TOC2"/>
            <w:tabs>
              <w:tab w:val="left" w:pos="880"/>
              <w:tab w:val="right" w:leader="dot" w:pos="9062"/>
            </w:tabs>
            <w:rPr>
              <w:rFonts w:eastAsiaTheme="minorEastAsia"/>
              <w:noProof/>
              <w:lang w:eastAsia="et-EE"/>
            </w:rPr>
          </w:pPr>
          <w:hyperlink w:anchor="_Toc86157127" w:history="1">
            <w:r w:rsidR="00544630" w:rsidRPr="00C53449">
              <w:rPr>
                <w:rStyle w:val="Hyperlink"/>
                <w:rFonts w:eastAsia="Times New Roman"/>
                <w:noProof/>
              </w:rPr>
              <w:t>2.2.</w:t>
            </w:r>
            <w:r w:rsidR="00544630">
              <w:rPr>
                <w:rFonts w:eastAsiaTheme="minorEastAsia"/>
                <w:noProof/>
                <w:lang w:eastAsia="et-EE"/>
              </w:rPr>
              <w:tab/>
            </w:r>
            <w:r w:rsidR="00544630" w:rsidRPr="00C53449">
              <w:rPr>
                <w:rStyle w:val="Hyperlink"/>
                <w:noProof/>
              </w:rPr>
              <w:t>Võimsusmehhanismi</w:t>
            </w:r>
            <w:r w:rsidR="00544630" w:rsidRPr="00C53449">
              <w:rPr>
                <w:rStyle w:val="Hyperlink"/>
                <w:rFonts w:eastAsia="Times New Roman"/>
                <w:noProof/>
              </w:rPr>
              <w:t xml:space="preserve"> rakendamise ajend</w:t>
            </w:r>
            <w:r w:rsidR="00544630">
              <w:rPr>
                <w:noProof/>
                <w:webHidden/>
              </w:rPr>
              <w:tab/>
            </w:r>
            <w:r w:rsidR="00544630">
              <w:rPr>
                <w:noProof/>
                <w:webHidden/>
              </w:rPr>
              <w:fldChar w:fldCharType="begin"/>
            </w:r>
            <w:r w:rsidR="00544630">
              <w:rPr>
                <w:noProof/>
                <w:webHidden/>
              </w:rPr>
              <w:instrText xml:space="preserve"> PAGEREF _Toc86157127 \h </w:instrText>
            </w:r>
            <w:r w:rsidR="00544630">
              <w:rPr>
                <w:noProof/>
                <w:webHidden/>
              </w:rPr>
            </w:r>
            <w:r w:rsidR="00544630">
              <w:rPr>
                <w:noProof/>
                <w:webHidden/>
              </w:rPr>
              <w:fldChar w:fldCharType="separate"/>
            </w:r>
            <w:r>
              <w:rPr>
                <w:noProof/>
                <w:webHidden/>
              </w:rPr>
              <w:t>7</w:t>
            </w:r>
            <w:r w:rsidR="00544630">
              <w:rPr>
                <w:noProof/>
                <w:webHidden/>
              </w:rPr>
              <w:fldChar w:fldCharType="end"/>
            </w:r>
          </w:hyperlink>
        </w:p>
        <w:p w14:paraId="54F78524" w14:textId="519A5BE9" w:rsidR="00544630" w:rsidRDefault="004D6392">
          <w:pPr>
            <w:pStyle w:val="TOC2"/>
            <w:tabs>
              <w:tab w:val="left" w:pos="880"/>
              <w:tab w:val="right" w:leader="dot" w:pos="9062"/>
            </w:tabs>
            <w:rPr>
              <w:rFonts w:eastAsiaTheme="minorEastAsia"/>
              <w:noProof/>
              <w:lang w:eastAsia="et-EE"/>
            </w:rPr>
          </w:pPr>
          <w:hyperlink w:anchor="_Toc86157128" w:history="1">
            <w:r w:rsidR="00544630" w:rsidRPr="00C53449">
              <w:rPr>
                <w:rStyle w:val="Hyperlink"/>
                <w:rFonts w:eastAsia="Times New Roman"/>
                <w:noProof/>
              </w:rPr>
              <w:t>2.3.</w:t>
            </w:r>
            <w:r w:rsidR="00544630">
              <w:rPr>
                <w:rFonts w:eastAsiaTheme="minorEastAsia"/>
                <w:noProof/>
                <w:lang w:eastAsia="et-EE"/>
              </w:rPr>
              <w:tab/>
            </w:r>
            <w:r w:rsidR="00544630" w:rsidRPr="00C53449">
              <w:rPr>
                <w:rStyle w:val="Hyperlink"/>
                <w:noProof/>
              </w:rPr>
              <w:t>Turumoonutus</w:t>
            </w:r>
            <w:r w:rsidR="00544630">
              <w:rPr>
                <w:noProof/>
                <w:webHidden/>
              </w:rPr>
              <w:tab/>
            </w:r>
            <w:r w:rsidR="00544630">
              <w:rPr>
                <w:noProof/>
                <w:webHidden/>
              </w:rPr>
              <w:fldChar w:fldCharType="begin"/>
            </w:r>
            <w:r w:rsidR="00544630">
              <w:rPr>
                <w:noProof/>
                <w:webHidden/>
              </w:rPr>
              <w:instrText xml:space="preserve"> PAGEREF _Toc86157128 \h </w:instrText>
            </w:r>
            <w:r w:rsidR="00544630">
              <w:rPr>
                <w:noProof/>
                <w:webHidden/>
              </w:rPr>
            </w:r>
            <w:r w:rsidR="00544630">
              <w:rPr>
                <w:noProof/>
                <w:webHidden/>
              </w:rPr>
              <w:fldChar w:fldCharType="separate"/>
            </w:r>
            <w:r>
              <w:rPr>
                <w:noProof/>
                <w:webHidden/>
              </w:rPr>
              <w:t>9</w:t>
            </w:r>
            <w:r w:rsidR="00544630">
              <w:rPr>
                <w:noProof/>
                <w:webHidden/>
              </w:rPr>
              <w:fldChar w:fldCharType="end"/>
            </w:r>
          </w:hyperlink>
        </w:p>
        <w:p w14:paraId="36BB8C2C" w14:textId="59BC321D" w:rsidR="00544630" w:rsidRDefault="004D6392">
          <w:pPr>
            <w:pStyle w:val="TOC2"/>
            <w:tabs>
              <w:tab w:val="left" w:pos="880"/>
              <w:tab w:val="right" w:leader="dot" w:pos="9062"/>
            </w:tabs>
            <w:rPr>
              <w:rFonts w:eastAsiaTheme="minorEastAsia"/>
              <w:noProof/>
              <w:lang w:eastAsia="et-EE"/>
            </w:rPr>
          </w:pPr>
          <w:hyperlink w:anchor="_Toc86157129" w:history="1">
            <w:r w:rsidR="00544630" w:rsidRPr="00C53449">
              <w:rPr>
                <w:rStyle w:val="Hyperlink"/>
                <w:noProof/>
              </w:rPr>
              <w:t>2.4.</w:t>
            </w:r>
            <w:r w:rsidR="00544630">
              <w:rPr>
                <w:rFonts w:eastAsiaTheme="minorEastAsia"/>
                <w:noProof/>
                <w:lang w:eastAsia="et-EE"/>
              </w:rPr>
              <w:tab/>
            </w:r>
            <w:r w:rsidR="00544630" w:rsidRPr="00C53449">
              <w:rPr>
                <w:rStyle w:val="Hyperlink"/>
                <w:noProof/>
              </w:rPr>
              <w:t xml:space="preserve">Süsteemi võimekuse hetkeolukord tuginedes üleeuroopalisele süsteemi võimekuse, </w:t>
            </w:r>
            <w:r>
              <w:rPr>
                <w:rStyle w:val="Hyperlink"/>
                <w:noProof/>
              </w:rPr>
              <w:t>ERAA2021</w:t>
            </w:r>
            <w:r w:rsidR="00544630" w:rsidRPr="00C53449">
              <w:rPr>
                <w:rStyle w:val="Hyperlink"/>
                <w:noProof/>
              </w:rPr>
              <w:t>, analüüsile</w:t>
            </w:r>
            <w:r w:rsidR="00544630">
              <w:rPr>
                <w:noProof/>
                <w:webHidden/>
              </w:rPr>
              <w:tab/>
            </w:r>
            <w:r w:rsidR="00544630">
              <w:rPr>
                <w:noProof/>
                <w:webHidden/>
              </w:rPr>
              <w:fldChar w:fldCharType="begin"/>
            </w:r>
            <w:r w:rsidR="00544630">
              <w:rPr>
                <w:noProof/>
                <w:webHidden/>
              </w:rPr>
              <w:instrText xml:space="preserve"> PAGEREF _Toc86157129 \h </w:instrText>
            </w:r>
            <w:r w:rsidR="00544630">
              <w:rPr>
                <w:noProof/>
                <w:webHidden/>
              </w:rPr>
            </w:r>
            <w:r w:rsidR="00544630">
              <w:rPr>
                <w:noProof/>
                <w:webHidden/>
              </w:rPr>
              <w:fldChar w:fldCharType="separate"/>
            </w:r>
            <w:r>
              <w:rPr>
                <w:noProof/>
                <w:webHidden/>
              </w:rPr>
              <w:t>10</w:t>
            </w:r>
            <w:r w:rsidR="00544630">
              <w:rPr>
                <w:noProof/>
                <w:webHidden/>
              </w:rPr>
              <w:fldChar w:fldCharType="end"/>
            </w:r>
          </w:hyperlink>
        </w:p>
        <w:p w14:paraId="53FD4282" w14:textId="203B5A92" w:rsidR="00544630" w:rsidRDefault="004D6392">
          <w:pPr>
            <w:pStyle w:val="TOC1"/>
            <w:tabs>
              <w:tab w:val="left" w:pos="440"/>
              <w:tab w:val="right" w:leader="dot" w:pos="9062"/>
            </w:tabs>
            <w:rPr>
              <w:rFonts w:eastAsiaTheme="minorEastAsia"/>
              <w:noProof/>
              <w:lang w:eastAsia="et-EE"/>
            </w:rPr>
          </w:pPr>
          <w:hyperlink w:anchor="_Toc86157130" w:history="1">
            <w:r w:rsidR="00544630" w:rsidRPr="00C53449">
              <w:rPr>
                <w:rStyle w:val="Hyperlink"/>
                <w:noProof/>
              </w:rPr>
              <w:t>3.</w:t>
            </w:r>
            <w:r w:rsidR="00544630">
              <w:rPr>
                <w:rFonts w:eastAsiaTheme="minorEastAsia"/>
                <w:noProof/>
                <w:lang w:eastAsia="et-EE"/>
              </w:rPr>
              <w:tab/>
            </w:r>
            <w:r w:rsidR="00544630" w:rsidRPr="00C53449">
              <w:rPr>
                <w:rStyle w:val="Hyperlink"/>
                <w:noProof/>
              </w:rPr>
              <w:t>Eestile sobiliku võimsusmehhanismi valik</w:t>
            </w:r>
            <w:r w:rsidR="00544630">
              <w:rPr>
                <w:noProof/>
                <w:webHidden/>
              </w:rPr>
              <w:tab/>
            </w:r>
            <w:r w:rsidR="00544630">
              <w:rPr>
                <w:noProof/>
                <w:webHidden/>
              </w:rPr>
              <w:fldChar w:fldCharType="begin"/>
            </w:r>
            <w:r w:rsidR="00544630">
              <w:rPr>
                <w:noProof/>
                <w:webHidden/>
              </w:rPr>
              <w:instrText xml:space="preserve"> PAGEREF _Toc86157130 \h </w:instrText>
            </w:r>
            <w:r w:rsidR="00544630">
              <w:rPr>
                <w:noProof/>
                <w:webHidden/>
              </w:rPr>
            </w:r>
            <w:r w:rsidR="00544630">
              <w:rPr>
                <w:noProof/>
                <w:webHidden/>
              </w:rPr>
              <w:fldChar w:fldCharType="separate"/>
            </w:r>
            <w:r>
              <w:rPr>
                <w:noProof/>
                <w:webHidden/>
              </w:rPr>
              <w:t>11</w:t>
            </w:r>
            <w:r w:rsidR="00544630">
              <w:rPr>
                <w:noProof/>
                <w:webHidden/>
              </w:rPr>
              <w:fldChar w:fldCharType="end"/>
            </w:r>
          </w:hyperlink>
        </w:p>
        <w:p w14:paraId="35ED5CDA" w14:textId="311A0157" w:rsidR="00544630" w:rsidRDefault="004D6392">
          <w:pPr>
            <w:pStyle w:val="TOC2"/>
            <w:tabs>
              <w:tab w:val="left" w:pos="880"/>
              <w:tab w:val="right" w:leader="dot" w:pos="9062"/>
            </w:tabs>
            <w:rPr>
              <w:rFonts w:eastAsiaTheme="minorEastAsia"/>
              <w:noProof/>
              <w:lang w:eastAsia="et-EE"/>
            </w:rPr>
          </w:pPr>
          <w:hyperlink w:anchor="_Toc86157131" w:history="1">
            <w:r w:rsidR="00544630" w:rsidRPr="00C53449">
              <w:rPr>
                <w:rStyle w:val="Hyperlink"/>
                <w:noProof/>
              </w:rPr>
              <w:t>3.1.</w:t>
            </w:r>
            <w:r w:rsidR="00544630">
              <w:rPr>
                <w:rFonts w:eastAsiaTheme="minorEastAsia"/>
                <w:noProof/>
                <w:lang w:eastAsia="et-EE"/>
              </w:rPr>
              <w:tab/>
            </w:r>
            <w:r w:rsidR="00544630" w:rsidRPr="00C53449">
              <w:rPr>
                <w:rStyle w:val="Hyperlink"/>
                <w:noProof/>
              </w:rPr>
              <w:t>Erinevad võimsusmehhanismi tüübid</w:t>
            </w:r>
            <w:r w:rsidR="00544630">
              <w:rPr>
                <w:noProof/>
                <w:webHidden/>
              </w:rPr>
              <w:tab/>
            </w:r>
            <w:r w:rsidR="00544630">
              <w:rPr>
                <w:noProof/>
                <w:webHidden/>
              </w:rPr>
              <w:fldChar w:fldCharType="begin"/>
            </w:r>
            <w:r w:rsidR="00544630">
              <w:rPr>
                <w:noProof/>
                <w:webHidden/>
              </w:rPr>
              <w:instrText xml:space="preserve"> PAGEREF _Toc86157131 \h </w:instrText>
            </w:r>
            <w:r w:rsidR="00544630">
              <w:rPr>
                <w:noProof/>
                <w:webHidden/>
              </w:rPr>
            </w:r>
            <w:r w:rsidR="00544630">
              <w:rPr>
                <w:noProof/>
                <w:webHidden/>
              </w:rPr>
              <w:fldChar w:fldCharType="separate"/>
            </w:r>
            <w:r>
              <w:rPr>
                <w:noProof/>
                <w:webHidden/>
              </w:rPr>
              <w:t>11</w:t>
            </w:r>
            <w:r w:rsidR="00544630">
              <w:rPr>
                <w:noProof/>
                <w:webHidden/>
              </w:rPr>
              <w:fldChar w:fldCharType="end"/>
            </w:r>
          </w:hyperlink>
        </w:p>
        <w:p w14:paraId="6E0FF90D" w14:textId="1FE50966" w:rsidR="00544630" w:rsidRDefault="004D6392">
          <w:pPr>
            <w:pStyle w:val="TOC2"/>
            <w:tabs>
              <w:tab w:val="left" w:pos="880"/>
              <w:tab w:val="right" w:leader="dot" w:pos="9062"/>
            </w:tabs>
            <w:rPr>
              <w:rFonts w:eastAsiaTheme="minorEastAsia"/>
              <w:noProof/>
              <w:lang w:eastAsia="et-EE"/>
            </w:rPr>
          </w:pPr>
          <w:hyperlink w:anchor="_Toc86157132" w:history="1">
            <w:r w:rsidR="00544630" w:rsidRPr="00C53449">
              <w:rPr>
                <w:rStyle w:val="Hyperlink"/>
                <w:noProof/>
              </w:rPr>
              <w:t>3.2.</w:t>
            </w:r>
            <w:r w:rsidR="00544630">
              <w:rPr>
                <w:rFonts w:eastAsiaTheme="minorEastAsia"/>
                <w:noProof/>
                <w:lang w:eastAsia="et-EE"/>
              </w:rPr>
              <w:tab/>
            </w:r>
            <w:r w:rsidR="00544630" w:rsidRPr="00C53449">
              <w:rPr>
                <w:rStyle w:val="Hyperlink"/>
                <w:noProof/>
              </w:rPr>
              <w:t>Võimsusmehhanismid naaberriikides</w:t>
            </w:r>
            <w:r w:rsidR="00544630">
              <w:rPr>
                <w:noProof/>
                <w:webHidden/>
              </w:rPr>
              <w:tab/>
            </w:r>
            <w:r w:rsidR="00544630">
              <w:rPr>
                <w:noProof/>
                <w:webHidden/>
              </w:rPr>
              <w:fldChar w:fldCharType="begin"/>
            </w:r>
            <w:r w:rsidR="00544630">
              <w:rPr>
                <w:noProof/>
                <w:webHidden/>
              </w:rPr>
              <w:instrText xml:space="preserve"> PAGEREF _Toc86157132 \h </w:instrText>
            </w:r>
            <w:r w:rsidR="00544630">
              <w:rPr>
                <w:noProof/>
                <w:webHidden/>
              </w:rPr>
            </w:r>
            <w:r w:rsidR="00544630">
              <w:rPr>
                <w:noProof/>
                <w:webHidden/>
              </w:rPr>
              <w:fldChar w:fldCharType="separate"/>
            </w:r>
            <w:r>
              <w:rPr>
                <w:noProof/>
                <w:webHidden/>
              </w:rPr>
              <w:t>12</w:t>
            </w:r>
            <w:r w:rsidR="00544630">
              <w:rPr>
                <w:noProof/>
                <w:webHidden/>
              </w:rPr>
              <w:fldChar w:fldCharType="end"/>
            </w:r>
          </w:hyperlink>
        </w:p>
        <w:p w14:paraId="75D24A1A" w14:textId="7DC9B0B3" w:rsidR="00544630" w:rsidRDefault="004D6392">
          <w:pPr>
            <w:pStyle w:val="TOC2"/>
            <w:tabs>
              <w:tab w:val="left" w:pos="880"/>
              <w:tab w:val="right" w:leader="dot" w:pos="9062"/>
            </w:tabs>
            <w:rPr>
              <w:rFonts w:eastAsiaTheme="minorEastAsia"/>
              <w:noProof/>
              <w:lang w:eastAsia="et-EE"/>
            </w:rPr>
          </w:pPr>
          <w:hyperlink w:anchor="_Toc86157133" w:history="1">
            <w:r w:rsidR="00544630" w:rsidRPr="00C53449">
              <w:rPr>
                <w:rStyle w:val="Hyperlink"/>
                <w:noProof/>
              </w:rPr>
              <w:t>3.3.</w:t>
            </w:r>
            <w:r w:rsidR="00544630">
              <w:rPr>
                <w:rFonts w:eastAsiaTheme="minorEastAsia"/>
                <w:noProof/>
                <w:lang w:eastAsia="et-EE"/>
              </w:rPr>
              <w:tab/>
            </w:r>
            <w:r w:rsidR="00544630" w:rsidRPr="00C53449">
              <w:rPr>
                <w:rStyle w:val="Hyperlink"/>
                <w:noProof/>
              </w:rPr>
              <w:t>Strateegiline reservi sobivus Eestile</w:t>
            </w:r>
            <w:r w:rsidR="00544630">
              <w:rPr>
                <w:noProof/>
                <w:webHidden/>
              </w:rPr>
              <w:tab/>
            </w:r>
            <w:r w:rsidR="00544630">
              <w:rPr>
                <w:noProof/>
                <w:webHidden/>
              </w:rPr>
              <w:fldChar w:fldCharType="begin"/>
            </w:r>
            <w:r w:rsidR="00544630">
              <w:rPr>
                <w:noProof/>
                <w:webHidden/>
              </w:rPr>
              <w:instrText xml:space="preserve"> PAGEREF _Toc86157133 \h </w:instrText>
            </w:r>
            <w:r w:rsidR="00544630">
              <w:rPr>
                <w:noProof/>
                <w:webHidden/>
              </w:rPr>
            </w:r>
            <w:r w:rsidR="00544630">
              <w:rPr>
                <w:noProof/>
                <w:webHidden/>
              </w:rPr>
              <w:fldChar w:fldCharType="separate"/>
            </w:r>
            <w:r>
              <w:rPr>
                <w:noProof/>
                <w:webHidden/>
              </w:rPr>
              <w:t>13</w:t>
            </w:r>
            <w:r w:rsidR="00544630">
              <w:rPr>
                <w:noProof/>
                <w:webHidden/>
              </w:rPr>
              <w:fldChar w:fldCharType="end"/>
            </w:r>
          </w:hyperlink>
        </w:p>
        <w:p w14:paraId="1F71B452" w14:textId="30B4DA10" w:rsidR="00544630" w:rsidRDefault="004D6392">
          <w:pPr>
            <w:pStyle w:val="TOC2"/>
            <w:tabs>
              <w:tab w:val="right" w:leader="dot" w:pos="9062"/>
            </w:tabs>
            <w:rPr>
              <w:rFonts w:eastAsiaTheme="minorEastAsia"/>
              <w:noProof/>
              <w:lang w:eastAsia="et-EE"/>
            </w:rPr>
          </w:pPr>
          <w:hyperlink w:anchor="_Toc86157134" w:history="1">
            <w:r w:rsidR="00544630" w:rsidRPr="00C53449">
              <w:rPr>
                <w:rStyle w:val="Hyperlink"/>
                <w:noProof/>
              </w:rPr>
              <w:t>3.4 Võimsusmehhanismi mõju naaberriikidele</w:t>
            </w:r>
            <w:r w:rsidR="00544630">
              <w:rPr>
                <w:noProof/>
                <w:webHidden/>
              </w:rPr>
              <w:tab/>
            </w:r>
            <w:r w:rsidR="00544630">
              <w:rPr>
                <w:noProof/>
                <w:webHidden/>
              </w:rPr>
              <w:fldChar w:fldCharType="begin"/>
            </w:r>
            <w:r w:rsidR="00544630">
              <w:rPr>
                <w:noProof/>
                <w:webHidden/>
              </w:rPr>
              <w:instrText xml:space="preserve"> PAGEREF _Toc86157134 \h </w:instrText>
            </w:r>
            <w:r w:rsidR="00544630">
              <w:rPr>
                <w:noProof/>
                <w:webHidden/>
              </w:rPr>
            </w:r>
            <w:r w:rsidR="00544630">
              <w:rPr>
                <w:noProof/>
                <w:webHidden/>
              </w:rPr>
              <w:fldChar w:fldCharType="separate"/>
            </w:r>
            <w:r>
              <w:rPr>
                <w:noProof/>
                <w:webHidden/>
              </w:rPr>
              <w:t>13</w:t>
            </w:r>
            <w:r w:rsidR="00544630">
              <w:rPr>
                <w:noProof/>
                <w:webHidden/>
              </w:rPr>
              <w:fldChar w:fldCharType="end"/>
            </w:r>
          </w:hyperlink>
        </w:p>
        <w:p w14:paraId="681F5E6A" w14:textId="1F14AFF6" w:rsidR="00544630" w:rsidRDefault="004D6392">
          <w:pPr>
            <w:pStyle w:val="TOC1"/>
            <w:tabs>
              <w:tab w:val="left" w:pos="440"/>
              <w:tab w:val="right" w:leader="dot" w:pos="9062"/>
            </w:tabs>
            <w:rPr>
              <w:rFonts w:eastAsiaTheme="minorEastAsia"/>
              <w:noProof/>
              <w:lang w:eastAsia="et-EE"/>
            </w:rPr>
          </w:pPr>
          <w:hyperlink w:anchor="_Toc86157135" w:history="1">
            <w:r w:rsidR="00544630" w:rsidRPr="00C53449">
              <w:rPr>
                <w:rStyle w:val="Hyperlink"/>
                <w:noProof/>
              </w:rPr>
              <w:t>4.</w:t>
            </w:r>
            <w:r w:rsidR="00544630">
              <w:rPr>
                <w:rFonts w:eastAsiaTheme="minorEastAsia"/>
                <w:noProof/>
                <w:lang w:eastAsia="et-EE"/>
              </w:rPr>
              <w:tab/>
            </w:r>
            <w:r w:rsidR="00544630" w:rsidRPr="00C53449">
              <w:rPr>
                <w:rStyle w:val="Hyperlink"/>
                <w:noProof/>
              </w:rPr>
              <w:t>Nõuded võimsusepakkujatele</w:t>
            </w:r>
            <w:r w:rsidR="00544630">
              <w:rPr>
                <w:noProof/>
                <w:webHidden/>
              </w:rPr>
              <w:tab/>
            </w:r>
            <w:r w:rsidR="00544630">
              <w:rPr>
                <w:noProof/>
                <w:webHidden/>
              </w:rPr>
              <w:fldChar w:fldCharType="begin"/>
            </w:r>
            <w:r w:rsidR="00544630">
              <w:rPr>
                <w:noProof/>
                <w:webHidden/>
              </w:rPr>
              <w:instrText xml:space="preserve"> PAGEREF _Toc86157135 \h </w:instrText>
            </w:r>
            <w:r w:rsidR="00544630">
              <w:rPr>
                <w:noProof/>
                <w:webHidden/>
              </w:rPr>
            </w:r>
            <w:r w:rsidR="00544630">
              <w:rPr>
                <w:noProof/>
                <w:webHidden/>
              </w:rPr>
              <w:fldChar w:fldCharType="separate"/>
            </w:r>
            <w:r>
              <w:rPr>
                <w:noProof/>
                <w:webHidden/>
              </w:rPr>
              <w:t>15</w:t>
            </w:r>
            <w:r w:rsidR="00544630">
              <w:rPr>
                <w:noProof/>
                <w:webHidden/>
              </w:rPr>
              <w:fldChar w:fldCharType="end"/>
            </w:r>
          </w:hyperlink>
        </w:p>
        <w:p w14:paraId="1676044B" w14:textId="7231A858" w:rsidR="00544630" w:rsidRDefault="004D6392">
          <w:pPr>
            <w:pStyle w:val="TOC2"/>
            <w:tabs>
              <w:tab w:val="left" w:pos="880"/>
              <w:tab w:val="right" w:leader="dot" w:pos="9062"/>
            </w:tabs>
            <w:rPr>
              <w:rFonts w:eastAsiaTheme="minorEastAsia"/>
              <w:noProof/>
              <w:lang w:eastAsia="et-EE"/>
            </w:rPr>
          </w:pPr>
          <w:hyperlink w:anchor="_Toc86157136" w:history="1">
            <w:r w:rsidR="00544630" w:rsidRPr="00C53449">
              <w:rPr>
                <w:rStyle w:val="Hyperlink"/>
                <w:noProof/>
              </w:rPr>
              <w:t>4.1.</w:t>
            </w:r>
            <w:r w:rsidR="00544630">
              <w:rPr>
                <w:rFonts w:eastAsiaTheme="minorEastAsia"/>
                <w:noProof/>
                <w:lang w:eastAsia="et-EE"/>
              </w:rPr>
              <w:tab/>
            </w:r>
            <w:r w:rsidR="00544630" w:rsidRPr="00C53449">
              <w:rPr>
                <w:rStyle w:val="Hyperlink"/>
                <w:noProof/>
              </w:rPr>
              <w:t>Üldised nõuded</w:t>
            </w:r>
            <w:r w:rsidR="00544630">
              <w:rPr>
                <w:noProof/>
                <w:webHidden/>
              </w:rPr>
              <w:tab/>
            </w:r>
            <w:r w:rsidR="00544630">
              <w:rPr>
                <w:noProof/>
                <w:webHidden/>
              </w:rPr>
              <w:fldChar w:fldCharType="begin"/>
            </w:r>
            <w:r w:rsidR="00544630">
              <w:rPr>
                <w:noProof/>
                <w:webHidden/>
              </w:rPr>
              <w:instrText xml:space="preserve"> PAGEREF _Toc86157136 \h </w:instrText>
            </w:r>
            <w:r w:rsidR="00544630">
              <w:rPr>
                <w:noProof/>
                <w:webHidden/>
              </w:rPr>
            </w:r>
            <w:r w:rsidR="00544630">
              <w:rPr>
                <w:noProof/>
                <w:webHidden/>
              </w:rPr>
              <w:fldChar w:fldCharType="separate"/>
            </w:r>
            <w:r>
              <w:rPr>
                <w:noProof/>
                <w:webHidden/>
              </w:rPr>
              <w:t>15</w:t>
            </w:r>
            <w:r w:rsidR="00544630">
              <w:rPr>
                <w:noProof/>
                <w:webHidden/>
              </w:rPr>
              <w:fldChar w:fldCharType="end"/>
            </w:r>
          </w:hyperlink>
        </w:p>
        <w:p w14:paraId="488F676B" w14:textId="5075683F" w:rsidR="00544630" w:rsidRDefault="004D6392">
          <w:pPr>
            <w:pStyle w:val="TOC2"/>
            <w:tabs>
              <w:tab w:val="left" w:pos="880"/>
              <w:tab w:val="right" w:leader="dot" w:pos="9062"/>
            </w:tabs>
            <w:rPr>
              <w:rFonts w:eastAsiaTheme="minorEastAsia"/>
              <w:noProof/>
              <w:lang w:eastAsia="et-EE"/>
            </w:rPr>
          </w:pPr>
          <w:hyperlink w:anchor="_Toc86157137" w:history="1">
            <w:r w:rsidR="00544630" w:rsidRPr="00C53449">
              <w:rPr>
                <w:rStyle w:val="Hyperlink"/>
                <w:noProof/>
              </w:rPr>
              <w:t>4.2.</w:t>
            </w:r>
            <w:r w:rsidR="00544630">
              <w:rPr>
                <w:rFonts w:eastAsiaTheme="minorEastAsia"/>
                <w:noProof/>
                <w:lang w:eastAsia="et-EE"/>
              </w:rPr>
              <w:tab/>
            </w:r>
            <w:r w:rsidR="00544630" w:rsidRPr="00C53449">
              <w:rPr>
                <w:rStyle w:val="Hyperlink"/>
                <w:noProof/>
              </w:rPr>
              <w:t>Kasvuhoonegaaside heitmete piirmäärad</w:t>
            </w:r>
            <w:r w:rsidR="00544630">
              <w:rPr>
                <w:noProof/>
                <w:webHidden/>
              </w:rPr>
              <w:tab/>
            </w:r>
            <w:r w:rsidR="00544630">
              <w:rPr>
                <w:noProof/>
                <w:webHidden/>
              </w:rPr>
              <w:fldChar w:fldCharType="begin"/>
            </w:r>
            <w:r w:rsidR="00544630">
              <w:rPr>
                <w:noProof/>
                <w:webHidden/>
              </w:rPr>
              <w:instrText xml:space="preserve"> PAGEREF _Toc86157137 \h </w:instrText>
            </w:r>
            <w:r w:rsidR="00544630">
              <w:rPr>
                <w:noProof/>
                <w:webHidden/>
              </w:rPr>
            </w:r>
            <w:r w:rsidR="00544630">
              <w:rPr>
                <w:noProof/>
                <w:webHidden/>
              </w:rPr>
              <w:fldChar w:fldCharType="separate"/>
            </w:r>
            <w:r>
              <w:rPr>
                <w:noProof/>
                <w:webHidden/>
              </w:rPr>
              <w:t>16</w:t>
            </w:r>
            <w:r w:rsidR="00544630">
              <w:rPr>
                <w:noProof/>
                <w:webHidden/>
              </w:rPr>
              <w:fldChar w:fldCharType="end"/>
            </w:r>
          </w:hyperlink>
        </w:p>
        <w:p w14:paraId="407F5A39" w14:textId="3E9ECF6A" w:rsidR="00544630" w:rsidRDefault="004D6392">
          <w:pPr>
            <w:pStyle w:val="TOC2"/>
            <w:tabs>
              <w:tab w:val="left" w:pos="880"/>
              <w:tab w:val="right" w:leader="dot" w:pos="9062"/>
            </w:tabs>
            <w:rPr>
              <w:rFonts w:eastAsiaTheme="minorEastAsia"/>
              <w:noProof/>
              <w:lang w:eastAsia="et-EE"/>
            </w:rPr>
          </w:pPr>
          <w:hyperlink w:anchor="_Toc86157138" w:history="1">
            <w:r w:rsidR="00544630" w:rsidRPr="00C53449">
              <w:rPr>
                <w:rStyle w:val="Hyperlink"/>
                <w:noProof/>
              </w:rPr>
              <w:t>4.3.</w:t>
            </w:r>
            <w:r w:rsidR="00544630">
              <w:rPr>
                <w:rFonts w:eastAsiaTheme="minorEastAsia"/>
                <w:noProof/>
                <w:lang w:eastAsia="et-EE"/>
              </w:rPr>
              <w:tab/>
            </w:r>
            <w:r w:rsidR="00544630" w:rsidRPr="00C53449">
              <w:rPr>
                <w:rStyle w:val="Hyperlink"/>
                <w:noProof/>
              </w:rPr>
              <w:t>Võimsusressursside ühikvõimsus</w:t>
            </w:r>
            <w:r w:rsidR="00544630">
              <w:rPr>
                <w:noProof/>
                <w:webHidden/>
              </w:rPr>
              <w:tab/>
            </w:r>
            <w:r w:rsidR="00544630">
              <w:rPr>
                <w:noProof/>
                <w:webHidden/>
              </w:rPr>
              <w:fldChar w:fldCharType="begin"/>
            </w:r>
            <w:r w:rsidR="00544630">
              <w:rPr>
                <w:noProof/>
                <w:webHidden/>
              </w:rPr>
              <w:instrText xml:space="preserve"> PAGEREF _Toc86157138 \h </w:instrText>
            </w:r>
            <w:r w:rsidR="00544630">
              <w:rPr>
                <w:noProof/>
                <w:webHidden/>
              </w:rPr>
            </w:r>
            <w:r w:rsidR="00544630">
              <w:rPr>
                <w:noProof/>
                <w:webHidden/>
              </w:rPr>
              <w:fldChar w:fldCharType="separate"/>
            </w:r>
            <w:r>
              <w:rPr>
                <w:noProof/>
                <w:webHidden/>
              </w:rPr>
              <w:t>17</w:t>
            </w:r>
            <w:r w:rsidR="00544630">
              <w:rPr>
                <w:noProof/>
                <w:webHidden/>
              </w:rPr>
              <w:fldChar w:fldCharType="end"/>
            </w:r>
          </w:hyperlink>
        </w:p>
        <w:p w14:paraId="70B51B30" w14:textId="290B4048" w:rsidR="00544630" w:rsidRDefault="004D6392">
          <w:pPr>
            <w:pStyle w:val="TOC2"/>
            <w:tabs>
              <w:tab w:val="left" w:pos="880"/>
              <w:tab w:val="right" w:leader="dot" w:pos="9062"/>
            </w:tabs>
            <w:rPr>
              <w:rFonts w:eastAsiaTheme="minorEastAsia"/>
              <w:noProof/>
              <w:lang w:eastAsia="et-EE"/>
            </w:rPr>
          </w:pPr>
          <w:hyperlink w:anchor="_Toc86157139" w:history="1">
            <w:r w:rsidR="00544630" w:rsidRPr="00C53449">
              <w:rPr>
                <w:rStyle w:val="Hyperlink"/>
                <w:noProof/>
              </w:rPr>
              <w:t>4.4.</w:t>
            </w:r>
            <w:r w:rsidR="00544630">
              <w:rPr>
                <w:rFonts w:eastAsiaTheme="minorEastAsia"/>
                <w:noProof/>
                <w:lang w:eastAsia="et-EE"/>
              </w:rPr>
              <w:tab/>
            </w:r>
            <w:r w:rsidR="00544630" w:rsidRPr="00C53449">
              <w:rPr>
                <w:rStyle w:val="Hyperlink"/>
                <w:noProof/>
              </w:rPr>
              <w:t>Reservvõimsuse tehniline kirjeldus</w:t>
            </w:r>
            <w:r w:rsidR="00544630">
              <w:rPr>
                <w:noProof/>
                <w:webHidden/>
              </w:rPr>
              <w:tab/>
            </w:r>
            <w:r w:rsidR="00544630">
              <w:rPr>
                <w:noProof/>
                <w:webHidden/>
              </w:rPr>
              <w:fldChar w:fldCharType="begin"/>
            </w:r>
            <w:r w:rsidR="00544630">
              <w:rPr>
                <w:noProof/>
                <w:webHidden/>
              </w:rPr>
              <w:instrText xml:space="preserve"> PAGEREF _Toc86157139 \h </w:instrText>
            </w:r>
            <w:r w:rsidR="00544630">
              <w:rPr>
                <w:noProof/>
                <w:webHidden/>
              </w:rPr>
            </w:r>
            <w:r w:rsidR="00544630">
              <w:rPr>
                <w:noProof/>
                <w:webHidden/>
              </w:rPr>
              <w:fldChar w:fldCharType="separate"/>
            </w:r>
            <w:r>
              <w:rPr>
                <w:noProof/>
                <w:webHidden/>
              </w:rPr>
              <w:t>17</w:t>
            </w:r>
            <w:r w:rsidR="00544630">
              <w:rPr>
                <w:noProof/>
                <w:webHidden/>
              </w:rPr>
              <w:fldChar w:fldCharType="end"/>
            </w:r>
          </w:hyperlink>
        </w:p>
        <w:p w14:paraId="6EE10283" w14:textId="4CC38522" w:rsidR="00544630" w:rsidRDefault="004D6392">
          <w:pPr>
            <w:pStyle w:val="TOC3"/>
            <w:tabs>
              <w:tab w:val="left" w:pos="1320"/>
              <w:tab w:val="right" w:leader="dot" w:pos="9062"/>
            </w:tabs>
            <w:rPr>
              <w:rFonts w:eastAsiaTheme="minorEastAsia"/>
              <w:noProof/>
              <w:lang w:eastAsia="et-EE"/>
            </w:rPr>
          </w:pPr>
          <w:hyperlink w:anchor="_Toc86157140" w:history="1">
            <w:r w:rsidR="00544630" w:rsidRPr="00C53449">
              <w:rPr>
                <w:rStyle w:val="Hyperlink"/>
                <w:noProof/>
              </w:rPr>
              <w:t>4.4.1.</w:t>
            </w:r>
            <w:r w:rsidR="00544630">
              <w:rPr>
                <w:rFonts w:eastAsiaTheme="minorEastAsia"/>
                <w:noProof/>
                <w:lang w:eastAsia="et-EE"/>
              </w:rPr>
              <w:tab/>
            </w:r>
            <w:r w:rsidR="00544630" w:rsidRPr="00C53449">
              <w:rPr>
                <w:rStyle w:val="Hyperlink"/>
                <w:noProof/>
              </w:rPr>
              <w:t>Reservvõimsuse valmisolek ja selle testimine</w:t>
            </w:r>
            <w:r w:rsidR="00544630">
              <w:rPr>
                <w:noProof/>
                <w:webHidden/>
              </w:rPr>
              <w:tab/>
            </w:r>
            <w:r w:rsidR="00544630">
              <w:rPr>
                <w:noProof/>
                <w:webHidden/>
              </w:rPr>
              <w:fldChar w:fldCharType="begin"/>
            </w:r>
            <w:r w:rsidR="00544630">
              <w:rPr>
                <w:noProof/>
                <w:webHidden/>
              </w:rPr>
              <w:instrText xml:space="preserve"> PAGEREF _Toc86157140 \h </w:instrText>
            </w:r>
            <w:r w:rsidR="00544630">
              <w:rPr>
                <w:noProof/>
                <w:webHidden/>
              </w:rPr>
            </w:r>
            <w:r w:rsidR="00544630">
              <w:rPr>
                <w:noProof/>
                <w:webHidden/>
              </w:rPr>
              <w:fldChar w:fldCharType="separate"/>
            </w:r>
            <w:r>
              <w:rPr>
                <w:noProof/>
                <w:webHidden/>
              </w:rPr>
              <w:t>17</w:t>
            </w:r>
            <w:r w:rsidR="00544630">
              <w:rPr>
                <w:noProof/>
                <w:webHidden/>
              </w:rPr>
              <w:fldChar w:fldCharType="end"/>
            </w:r>
          </w:hyperlink>
        </w:p>
        <w:p w14:paraId="492A4204" w14:textId="7451A08A" w:rsidR="00544630" w:rsidRDefault="004D6392">
          <w:pPr>
            <w:pStyle w:val="TOC3"/>
            <w:tabs>
              <w:tab w:val="left" w:pos="1320"/>
              <w:tab w:val="right" w:leader="dot" w:pos="9062"/>
            </w:tabs>
            <w:rPr>
              <w:rFonts w:eastAsiaTheme="minorEastAsia"/>
              <w:noProof/>
              <w:lang w:eastAsia="et-EE"/>
            </w:rPr>
          </w:pPr>
          <w:hyperlink w:anchor="_Toc86157141" w:history="1">
            <w:r w:rsidR="00544630" w:rsidRPr="00C53449">
              <w:rPr>
                <w:rStyle w:val="Hyperlink"/>
                <w:noProof/>
              </w:rPr>
              <w:t>4.4.2.</w:t>
            </w:r>
            <w:r w:rsidR="00544630">
              <w:rPr>
                <w:rFonts w:eastAsiaTheme="minorEastAsia"/>
                <w:noProof/>
                <w:lang w:eastAsia="et-EE"/>
              </w:rPr>
              <w:tab/>
            </w:r>
            <w:r w:rsidR="00544630" w:rsidRPr="00C53449">
              <w:rPr>
                <w:rStyle w:val="Hyperlink"/>
                <w:noProof/>
              </w:rPr>
              <w:t>Sanktsioonid ja trahvid võimsuste mitte käivitamisest</w:t>
            </w:r>
            <w:r w:rsidR="00544630">
              <w:rPr>
                <w:noProof/>
                <w:webHidden/>
              </w:rPr>
              <w:tab/>
            </w:r>
            <w:r w:rsidR="00544630">
              <w:rPr>
                <w:noProof/>
                <w:webHidden/>
              </w:rPr>
              <w:fldChar w:fldCharType="begin"/>
            </w:r>
            <w:r w:rsidR="00544630">
              <w:rPr>
                <w:noProof/>
                <w:webHidden/>
              </w:rPr>
              <w:instrText xml:space="preserve"> PAGEREF _Toc86157141 \h </w:instrText>
            </w:r>
            <w:r w:rsidR="00544630">
              <w:rPr>
                <w:noProof/>
                <w:webHidden/>
              </w:rPr>
            </w:r>
            <w:r w:rsidR="00544630">
              <w:rPr>
                <w:noProof/>
                <w:webHidden/>
              </w:rPr>
              <w:fldChar w:fldCharType="separate"/>
            </w:r>
            <w:r>
              <w:rPr>
                <w:noProof/>
                <w:webHidden/>
              </w:rPr>
              <w:t>18</w:t>
            </w:r>
            <w:r w:rsidR="00544630">
              <w:rPr>
                <w:noProof/>
                <w:webHidden/>
              </w:rPr>
              <w:fldChar w:fldCharType="end"/>
            </w:r>
          </w:hyperlink>
        </w:p>
        <w:p w14:paraId="753378FA" w14:textId="3049631D" w:rsidR="00544630" w:rsidRDefault="004D6392">
          <w:pPr>
            <w:pStyle w:val="TOC3"/>
            <w:tabs>
              <w:tab w:val="left" w:pos="1320"/>
              <w:tab w:val="right" w:leader="dot" w:pos="9062"/>
            </w:tabs>
            <w:rPr>
              <w:rFonts w:eastAsiaTheme="minorEastAsia"/>
              <w:noProof/>
              <w:lang w:eastAsia="et-EE"/>
            </w:rPr>
          </w:pPr>
          <w:hyperlink w:anchor="_Toc86157142" w:history="1">
            <w:r w:rsidR="00544630" w:rsidRPr="00C53449">
              <w:rPr>
                <w:rStyle w:val="Hyperlink"/>
                <w:noProof/>
              </w:rPr>
              <w:t>4.4.3.</w:t>
            </w:r>
            <w:r w:rsidR="00544630">
              <w:rPr>
                <w:rFonts w:eastAsiaTheme="minorEastAsia"/>
                <w:noProof/>
                <w:lang w:eastAsia="et-EE"/>
              </w:rPr>
              <w:tab/>
            </w:r>
            <w:r w:rsidR="00544630" w:rsidRPr="00C53449">
              <w:rPr>
                <w:rStyle w:val="Hyperlink"/>
                <w:noProof/>
              </w:rPr>
              <w:t>Tehnilised nõuded elektrienergia netotootjatele</w:t>
            </w:r>
            <w:r w:rsidR="00544630">
              <w:rPr>
                <w:noProof/>
                <w:webHidden/>
              </w:rPr>
              <w:tab/>
            </w:r>
            <w:r w:rsidR="00544630">
              <w:rPr>
                <w:noProof/>
                <w:webHidden/>
              </w:rPr>
              <w:fldChar w:fldCharType="begin"/>
            </w:r>
            <w:r w:rsidR="00544630">
              <w:rPr>
                <w:noProof/>
                <w:webHidden/>
              </w:rPr>
              <w:instrText xml:space="preserve"> PAGEREF _Toc86157142 \h </w:instrText>
            </w:r>
            <w:r w:rsidR="00544630">
              <w:rPr>
                <w:noProof/>
                <w:webHidden/>
              </w:rPr>
            </w:r>
            <w:r w:rsidR="00544630">
              <w:rPr>
                <w:noProof/>
                <w:webHidden/>
              </w:rPr>
              <w:fldChar w:fldCharType="separate"/>
            </w:r>
            <w:r>
              <w:rPr>
                <w:noProof/>
                <w:webHidden/>
              </w:rPr>
              <w:t>18</w:t>
            </w:r>
            <w:r w:rsidR="00544630">
              <w:rPr>
                <w:noProof/>
                <w:webHidden/>
              </w:rPr>
              <w:fldChar w:fldCharType="end"/>
            </w:r>
          </w:hyperlink>
        </w:p>
        <w:p w14:paraId="52B513BE" w14:textId="74E42DF1" w:rsidR="00544630" w:rsidRDefault="004D6392">
          <w:pPr>
            <w:pStyle w:val="TOC3"/>
            <w:tabs>
              <w:tab w:val="left" w:pos="1320"/>
              <w:tab w:val="right" w:leader="dot" w:pos="9062"/>
            </w:tabs>
            <w:rPr>
              <w:rFonts w:eastAsiaTheme="minorEastAsia"/>
              <w:noProof/>
              <w:lang w:eastAsia="et-EE"/>
            </w:rPr>
          </w:pPr>
          <w:hyperlink w:anchor="_Toc86157143" w:history="1">
            <w:r w:rsidR="00544630" w:rsidRPr="00C53449">
              <w:rPr>
                <w:rStyle w:val="Hyperlink"/>
                <w:noProof/>
              </w:rPr>
              <w:t>4.4.4.</w:t>
            </w:r>
            <w:r w:rsidR="00544630">
              <w:rPr>
                <w:rFonts w:eastAsiaTheme="minorEastAsia"/>
                <w:noProof/>
                <w:lang w:eastAsia="et-EE"/>
              </w:rPr>
              <w:tab/>
            </w:r>
            <w:r w:rsidR="00544630" w:rsidRPr="00C53449">
              <w:rPr>
                <w:rStyle w:val="Hyperlink"/>
                <w:noProof/>
              </w:rPr>
              <w:t>Tehnilised nõuded energiasalvestitele ja tarbimise juhtimisele</w:t>
            </w:r>
            <w:r w:rsidR="00544630">
              <w:rPr>
                <w:noProof/>
                <w:webHidden/>
              </w:rPr>
              <w:tab/>
            </w:r>
            <w:r w:rsidR="00544630">
              <w:rPr>
                <w:noProof/>
                <w:webHidden/>
              </w:rPr>
              <w:fldChar w:fldCharType="begin"/>
            </w:r>
            <w:r w:rsidR="00544630">
              <w:rPr>
                <w:noProof/>
                <w:webHidden/>
              </w:rPr>
              <w:instrText xml:space="preserve"> PAGEREF _Toc86157143 \h </w:instrText>
            </w:r>
            <w:r w:rsidR="00544630">
              <w:rPr>
                <w:noProof/>
                <w:webHidden/>
              </w:rPr>
            </w:r>
            <w:r w:rsidR="00544630">
              <w:rPr>
                <w:noProof/>
                <w:webHidden/>
              </w:rPr>
              <w:fldChar w:fldCharType="separate"/>
            </w:r>
            <w:r>
              <w:rPr>
                <w:noProof/>
                <w:webHidden/>
              </w:rPr>
              <w:t>19</w:t>
            </w:r>
            <w:r w:rsidR="00544630">
              <w:rPr>
                <w:noProof/>
                <w:webHidden/>
              </w:rPr>
              <w:fldChar w:fldCharType="end"/>
            </w:r>
          </w:hyperlink>
        </w:p>
        <w:p w14:paraId="07C342DC" w14:textId="7161C59A" w:rsidR="00544630" w:rsidRDefault="004D6392">
          <w:pPr>
            <w:pStyle w:val="TOC3"/>
            <w:tabs>
              <w:tab w:val="left" w:pos="1320"/>
              <w:tab w:val="right" w:leader="dot" w:pos="9062"/>
            </w:tabs>
            <w:rPr>
              <w:rFonts w:eastAsiaTheme="minorEastAsia"/>
              <w:noProof/>
              <w:lang w:eastAsia="et-EE"/>
            </w:rPr>
          </w:pPr>
          <w:hyperlink w:anchor="_Toc86157144" w:history="1">
            <w:r w:rsidR="00544630" w:rsidRPr="00C53449">
              <w:rPr>
                <w:rStyle w:val="Hyperlink"/>
                <w:noProof/>
              </w:rPr>
              <w:t>4.4.5.</w:t>
            </w:r>
            <w:r w:rsidR="00544630">
              <w:rPr>
                <w:rFonts w:eastAsiaTheme="minorEastAsia"/>
                <w:noProof/>
                <w:lang w:eastAsia="et-EE"/>
              </w:rPr>
              <w:tab/>
            </w:r>
            <w:r w:rsidR="00544630" w:rsidRPr="00C53449">
              <w:rPr>
                <w:rStyle w:val="Hyperlink"/>
                <w:noProof/>
              </w:rPr>
              <w:t>Võimsusmehhanismi aktiveerimine elektrienergia puudujäägi katmiseks</w:t>
            </w:r>
            <w:r w:rsidR="00544630">
              <w:rPr>
                <w:noProof/>
                <w:webHidden/>
              </w:rPr>
              <w:tab/>
            </w:r>
            <w:r w:rsidR="00544630">
              <w:rPr>
                <w:noProof/>
                <w:webHidden/>
              </w:rPr>
              <w:fldChar w:fldCharType="begin"/>
            </w:r>
            <w:r w:rsidR="00544630">
              <w:rPr>
                <w:noProof/>
                <w:webHidden/>
              </w:rPr>
              <w:instrText xml:space="preserve"> PAGEREF _Toc86157144 \h </w:instrText>
            </w:r>
            <w:r w:rsidR="00544630">
              <w:rPr>
                <w:noProof/>
                <w:webHidden/>
              </w:rPr>
            </w:r>
            <w:r w:rsidR="00544630">
              <w:rPr>
                <w:noProof/>
                <w:webHidden/>
              </w:rPr>
              <w:fldChar w:fldCharType="separate"/>
            </w:r>
            <w:r>
              <w:rPr>
                <w:noProof/>
                <w:webHidden/>
              </w:rPr>
              <w:t>19</w:t>
            </w:r>
            <w:r w:rsidR="00544630">
              <w:rPr>
                <w:noProof/>
                <w:webHidden/>
              </w:rPr>
              <w:fldChar w:fldCharType="end"/>
            </w:r>
          </w:hyperlink>
        </w:p>
        <w:p w14:paraId="68E89570" w14:textId="160BB780" w:rsidR="00544630" w:rsidRDefault="004D6392">
          <w:pPr>
            <w:pStyle w:val="TOC1"/>
            <w:tabs>
              <w:tab w:val="left" w:pos="440"/>
              <w:tab w:val="right" w:leader="dot" w:pos="9062"/>
            </w:tabs>
            <w:rPr>
              <w:rFonts w:eastAsiaTheme="minorEastAsia"/>
              <w:noProof/>
              <w:lang w:eastAsia="et-EE"/>
            </w:rPr>
          </w:pPr>
          <w:hyperlink w:anchor="_Toc86157145" w:history="1">
            <w:r w:rsidR="00544630" w:rsidRPr="00C53449">
              <w:rPr>
                <w:rStyle w:val="Hyperlink"/>
                <w:noProof/>
              </w:rPr>
              <w:t>5.</w:t>
            </w:r>
            <w:r w:rsidR="00544630">
              <w:rPr>
                <w:rFonts w:eastAsiaTheme="minorEastAsia"/>
                <w:noProof/>
                <w:lang w:eastAsia="et-EE"/>
              </w:rPr>
              <w:tab/>
            </w:r>
            <w:r w:rsidR="00544630" w:rsidRPr="00C53449">
              <w:rPr>
                <w:rStyle w:val="Hyperlink"/>
                <w:noProof/>
              </w:rPr>
              <w:t>Võimsuste hankimine vähempakkumisena</w:t>
            </w:r>
            <w:r w:rsidR="00544630">
              <w:rPr>
                <w:noProof/>
                <w:webHidden/>
              </w:rPr>
              <w:tab/>
            </w:r>
            <w:r w:rsidR="00544630">
              <w:rPr>
                <w:noProof/>
                <w:webHidden/>
              </w:rPr>
              <w:fldChar w:fldCharType="begin"/>
            </w:r>
            <w:r w:rsidR="00544630">
              <w:rPr>
                <w:noProof/>
                <w:webHidden/>
              </w:rPr>
              <w:instrText xml:space="preserve"> PAGEREF _Toc86157145 \h </w:instrText>
            </w:r>
            <w:r w:rsidR="00544630">
              <w:rPr>
                <w:noProof/>
                <w:webHidden/>
              </w:rPr>
            </w:r>
            <w:r w:rsidR="00544630">
              <w:rPr>
                <w:noProof/>
                <w:webHidden/>
              </w:rPr>
              <w:fldChar w:fldCharType="separate"/>
            </w:r>
            <w:r>
              <w:rPr>
                <w:noProof/>
                <w:webHidden/>
              </w:rPr>
              <w:t>20</w:t>
            </w:r>
            <w:r w:rsidR="00544630">
              <w:rPr>
                <w:noProof/>
                <w:webHidden/>
              </w:rPr>
              <w:fldChar w:fldCharType="end"/>
            </w:r>
          </w:hyperlink>
        </w:p>
        <w:p w14:paraId="3DB9C746" w14:textId="4832007F" w:rsidR="00544630" w:rsidRDefault="004D6392">
          <w:pPr>
            <w:pStyle w:val="TOC2"/>
            <w:tabs>
              <w:tab w:val="left" w:pos="880"/>
              <w:tab w:val="right" w:leader="dot" w:pos="9062"/>
            </w:tabs>
            <w:rPr>
              <w:rFonts w:eastAsiaTheme="minorEastAsia"/>
              <w:noProof/>
              <w:lang w:eastAsia="et-EE"/>
            </w:rPr>
          </w:pPr>
          <w:hyperlink w:anchor="_Toc86157146" w:history="1">
            <w:r w:rsidR="00544630" w:rsidRPr="00C53449">
              <w:rPr>
                <w:rStyle w:val="Hyperlink"/>
                <w:noProof/>
              </w:rPr>
              <w:t>5.1.</w:t>
            </w:r>
            <w:r w:rsidR="00544630">
              <w:rPr>
                <w:rFonts w:eastAsiaTheme="minorEastAsia"/>
                <w:noProof/>
                <w:lang w:eastAsia="et-EE"/>
              </w:rPr>
              <w:tab/>
            </w:r>
            <w:r w:rsidR="00544630" w:rsidRPr="00C53449">
              <w:rPr>
                <w:rStyle w:val="Hyperlink"/>
                <w:noProof/>
              </w:rPr>
              <w:t>Vähempakkumiste ajakava ning kehtivus</w:t>
            </w:r>
            <w:r w:rsidR="00544630">
              <w:rPr>
                <w:noProof/>
                <w:webHidden/>
              </w:rPr>
              <w:tab/>
            </w:r>
            <w:r w:rsidR="00544630">
              <w:rPr>
                <w:noProof/>
                <w:webHidden/>
              </w:rPr>
              <w:fldChar w:fldCharType="begin"/>
            </w:r>
            <w:r w:rsidR="00544630">
              <w:rPr>
                <w:noProof/>
                <w:webHidden/>
              </w:rPr>
              <w:instrText xml:space="preserve"> PAGEREF _Toc86157146 \h </w:instrText>
            </w:r>
            <w:r w:rsidR="00544630">
              <w:rPr>
                <w:noProof/>
                <w:webHidden/>
              </w:rPr>
            </w:r>
            <w:r w:rsidR="00544630">
              <w:rPr>
                <w:noProof/>
                <w:webHidden/>
              </w:rPr>
              <w:fldChar w:fldCharType="separate"/>
            </w:r>
            <w:r>
              <w:rPr>
                <w:noProof/>
                <w:webHidden/>
              </w:rPr>
              <w:t>20</w:t>
            </w:r>
            <w:r w:rsidR="00544630">
              <w:rPr>
                <w:noProof/>
                <w:webHidden/>
              </w:rPr>
              <w:fldChar w:fldCharType="end"/>
            </w:r>
          </w:hyperlink>
        </w:p>
        <w:p w14:paraId="1B1E9D40" w14:textId="7523CFB0" w:rsidR="00544630" w:rsidRDefault="004D6392">
          <w:pPr>
            <w:pStyle w:val="TOC2"/>
            <w:tabs>
              <w:tab w:val="left" w:pos="880"/>
              <w:tab w:val="right" w:leader="dot" w:pos="9062"/>
            </w:tabs>
            <w:rPr>
              <w:rFonts w:eastAsiaTheme="minorEastAsia"/>
              <w:noProof/>
              <w:lang w:eastAsia="et-EE"/>
            </w:rPr>
          </w:pPr>
          <w:hyperlink w:anchor="_Toc86157147" w:history="1">
            <w:r w:rsidR="00544630" w:rsidRPr="00C53449">
              <w:rPr>
                <w:rStyle w:val="Hyperlink"/>
                <w:noProof/>
              </w:rPr>
              <w:t>5.2.</w:t>
            </w:r>
            <w:r w:rsidR="00544630">
              <w:rPr>
                <w:rFonts w:eastAsiaTheme="minorEastAsia"/>
                <w:noProof/>
                <w:lang w:eastAsia="et-EE"/>
              </w:rPr>
              <w:tab/>
            </w:r>
            <w:r w:rsidR="00544630" w:rsidRPr="00C53449">
              <w:rPr>
                <w:rStyle w:val="Hyperlink"/>
                <w:noProof/>
              </w:rPr>
              <w:t>Piiriülene osalemine</w:t>
            </w:r>
            <w:r w:rsidR="00544630">
              <w:rPr>
                <w:noProof/>
                <w:webHidden/>
              </w:rPr>
              <w:tab/>
            </w:r>
            <w:r w:rsidR="00544630">
              <w:rPr>
                <w:noProof/>
                <w:webHidden/>
              </w:rPr>
              <w:fldChar w:fldCharType="begin"/>
            </w:r>
            <w:r w:rsidR="00544630">
              <w:rPr>
                <w:noProof/>
                <w:webHidden/>
              </w:rPr>
              <w:instrText xml:space="preserve"> PAGEREF _Toc86157147 \h </w:instrText>
            </w:r>
            <w:r w:rsidR="00544630">
              <w:rPr>
                <w:noProof/>
                <w:webHidden/>
              </w:rPr>
            </w:r>
            <w:r w:rsidR="00544630">
              <w:rPr>
                <w:noProof/>
                <w:webHidden/>
              </w:rPr>
              <w:fldChar w:fldCharType="separate"/>
            </w:r>
            <w:r>
              <w:rPr>
                <w:noProof/>
                <w:webHidden/>
              </w:rPr>
              <w:t>21</w:t>
            </w:r>
            <w:r w:rsidR="00544630">
              <w:rPr>
                <w:noProof/>
                <w:webHidden/>
              </w:rPr>
              <w:fldChar w:fldCharType="end"/>
            </w:r>
          </w:hyperlink>
        </w:p>
        <w:p w14:paraId="00836B68" w14:textId="79EE648C" w:rsidR="00544630" w:rsidRDefault="004D6392">
          <w:pPr>
            <w:pStyle w:val="TOC2"/>
            <w:tabs>
              <w:tab w:val="left" w:pos="880"/>
              <w:tab w:val="right" w:leader="dot" w:pos="9062"/>
            </w:tabs>
            <w:rPr>
              <w:rFonts w:eastAsiaTheme="minorEastAsia"/>
              <w:noProof/>
              <w:lang w:eastAsia="et-EE"/>
            </w:rPr>
          </w:pPr>
          <w:hyperlink w:anchor="_Toc86157148" w:history="1">
            <w:r w:rsidR="00544630" w:rsidRPr="00C53449">
              <w:rPr>
                <w:rStyle w:val="Hyperlink"/>
                <w:noProof/>
              </w:rPr>
              <w:t>5.3.</w:t>
            </w:r>
            <w:r w:rsidR="00544630">
              <w:rPr>
                <w:rFonts w:eastAsiaTheme="minorEastAsia"/>
                <w:noProof/>
                <w:lang w:eastAsia="et-EE"/>
              </w:rPr>
              <w:tab/>
            </w:r>
            <w:r w:rsidR="00544630" w:rsidRPr="00C53449">
              <w:rPr>
                <w:rStyle w:val="Hyperlink"/>
                <w:noProof/>
              </w:rPr>
              <w:t>Eelkvalifitseerimine</w:t>
            </w:r>
            <w:r w:rsidR="00544630">
              <w:rPr>
                <w:noProof/>
                <w:webHidden/>
              </w:rPr>
              <w:tab/>
            </w:r>
            <w:r w:rsidR="00544630">
              <w:rPr>
                <w:noProof/>
                <w:webHidden/>
              </w:rPr>
              <w:fldChar w:fldCharType="begin"/>
            </w:r>
            <w:r w:rsidR="00544630">
              <w:rPr>
                <w:noProof/>
                <w:webHidden/>
              </w:rPr>
              <w:instrText xml:space="preserve"> PAGEREF _Toc86157148 \h </w:instrText>
            </w:r>
            <w:r w:rsidR="00544630">
              <w:rPr>
                <w:noProof/>
                <w:webHidden/>
              </w:rPr>
            </w:r>
            <w:r w:rsidR="00544630">
              <w:rPr>
                <w:noProof/>
                <w:webHidden/>
              </w:rPr>
              <w:fldChar w:fldCharType="separate"/>
            </w:r>
            <w:r>
              <w:rPr>
                <w:noProof/>
                <w:webHidden/>
              </w:rPr>
              <w:t>21</w:t>
            </w:r>
            <w:r w:rsidR="00544630">
              <w:rPr>
                <w:noProof/>
                <w:webHidden/>
              </w:rPr>
              <w:fldChar w:fldCharType="end"/>
            </w:r>
          </w:hyperlink>
        </w:p>
        <w:p w14:paraId="4CBC2F60" w14:textId="37231A0B" w:rsidR="00544630" w:rsidRDefault="004D6392">
          <w:pPr>
            <w:pStyle w:val="TOC2"/>
            <w:tabs>
              <w:tab w:val="left" w:pos="880"/>
              <w:tab w:val="right" w:leader="dot" w:pos="9062"/>
            </w:tabs>
            <w:rPr>
              <w:rFonts w:eastAsiaTheme="minorEastAsia"/>
              <w:noProof/>
              <w:lang w:eastAsia="et-EE"/>
            </w:rPr>
          </w:pPr>
          <w:hyperlink w:anchor="_Toc86157149" w:history="1">
            <w:r w:rsidR="00544630" w:rsidRPr="00C53449">
              <w:rPr>
                <w:rStyle w:val="Hyperlink"/>
                <w:noProof/>
              </w:rPr>
              <w:t>5.4.</w:t>
            </w:r>
            <w:r w:rsidR="00544630">
              <w:rPr>
                <w:rFonts w:eastAsiaTheme="minorEastAsia"/>
                <w:noProof/>
                <w:lang w:eastAsia="et-EE"/>
              </w:rPr>
              <w:tab/>
            </w:r>
            <w:r w:rsidR="00544630" w:rsidRPr="00C53449">
              <w:rPr>
                <w:rStyle w:val="Hyperlink"/>
                <w:noProof/>
              </w:rPr>
              <w:t>Vähempakkumiste esitamine</w:t>
            </w:r>
            <w:r w:rsidR="00544630">
              <w:rPr>
                <w:noProof/>
                <w:webHidden/>
              </w:rPr>
              <w:tab/>
            </w:r>
            <w:r w:rsidR="00544630">
              <w:rPr>
                <w:noProof/>
                <w:webHidden/>
              </w:rPr>
              <w:fldChar w:fldCharType="begin"/>
            </w:r>
            <w:r w:rsidR="00544630">
              <w:rPr>
                <w:noProof/>
                <w:webHidden/>
              </w:rPr>
              <w:instrText xml:space="preserve"> PAGEREF _Toc86157149 \h </w:instrText>
            </w:r>
            <w:r w:rsidR="00544630">
              <w:rPr>
                <w:noProof/>
                <w:webHidden/>
              </w:rPr>
            </w:r>
            <w:r w:rsidR="00544630">
              <w:rPr>
                <w:noProof/>
                <w:webHidden/>
              </w:rPr>
              <w:fldChar w:fldCharType="separate"/>
            </w:r>
            <w:r>
              <w:rPr>
                <w:noProof/>
                <w:webHidden/>
              </w:rPr>
              <w:t>22</w:t>
            </w:r>
            <w:r w:rsidR="00544630">
              <w:rPr>
                <w:noProof/>
                <w:webHidden/>
              </w:rPr>
              <w:fldChar w:fldCharType="end"/>
            </w:r>
          </w:hyperlink>
        </w:p>
        <w:p w14:paraId="6A72515D" w14:textId="2431982C" w:rsidR="00544630" w:rsidRDefault="004D6392">
          <w:pPr>
            <w:pStyle w:val="TOC2"/>
            <w:tabs>
              <w:tab w:val="left" w:pos="880"/>
              <w:tab w:val="right" w:leader="dot" w:pos="9062"/>
            </w:tabs>
            <w:rPr>
              <w:rFonts w:eastAsiaTheme="minorEastAsia"/>
              <w:noProof/>
              <w:lang w:eastAsia="et-EE"/>
            </w:rPr>
          </w:pPr>
          <w:hyperlink w:anchor="_Toc86157150" w:history="1">
            <w:r w:rsidR="00544630" w:rsidRPr="00C53449">
              <w:rPr>
                <w:rStyle w:val="Hyperlink"/>
                <w:noProof/>
              </w:rPr>
              <w:t>5.5.</w:t>
            </w:r>
            <w:r w:rsidR="00544630">
              <w:rPr>
                <w:rFonts w:eastAsiaTheme="minorEastAsia"/>
                <w:noProof/>
                <w:lang w:eastAsia="et-EE"/>
              </w:rPr>
              <w:tab/>
            </w:r>
            <w:r w:rsidR="00544630" w:rsidRPr="00C53449">
              <w:rPr>
                <w:rStyle w:val="Hyperlink"/>
                <w:noProof/>
              </w:rPr>
              <w:t>Vähempakkumise tulemuste selgitus</w:t>
            </w:r>
            <w:r w:rsidR="00544630">
              <w:rPr>
                <w:noProof/>
                <w:webHidden/>
              </w:rPr>
              <w:tab/>
            </w:r>
            <w:r w:rsidR="00544630">
              <w:rPr>
                <w:noProof/>
                <w:webHidden/>
              </w:rPr>
              <w:fldChar w:fldCharType="begin"/>
            </w:r>
            <w:r w:rsidR="00544630">
              <w:rPr>
                <w:noProof/>
                <w:webHidden/>
              </w:rPr>
              <w:instrText xml:space="preserve"> PAGEREF _Toc86157150 \h </w:instrText>
            </w:r>
            <w:r w:rsidR="00544630">
              <w:rPr>
                <w:noProof/>
                <w:webHidden/>
              </w:rPr>
            </w:r>
            <w:r w:rsidR="00544630">
              <w:rPr>
                <w:noProof/>
                <w:webHidden/>
              </w:rPr>
              <w:fldChar w:fldCharType="separate"/>
            </w:r>
            <w:r>
              <w:rPr>
                <w:noProof/>
                <w:webHidden/>
              </w:rPr>
              <w:t>23</w:t>
            </w:r>
            <w:r w:rsidR="00544630">
              <w:rPr>
                <w:noProof/>
                <w:webHidden/>
              </w:rPr>
              <w:fldChar w:fldCharType="end"/>
            </w:r>
          </w:hyperlink>
        </w:p>
        <w:p w14:paraId="3EA839C6" w14:textId="69FCFAE4" w:rsidR="00544630" w:rsidRDefault="004D6392">
          <w:pPr>
            <w:pStyle w:val="TOC2"/>
            <w:tabs>
              <w:tab w:val="left" w:pos="880"/>
              <w:tab w:val="right" w:leader="dot" w:pos="9062"/>
            </w:tabs>
            <w:rPr>
              <w:rFonts w:eastAsiaTheme="minorEastAsia"/>
              <w:noProof/>
              <w:lang w:eastAsia="et-EE"/>
            </w:rPr>
          </w:pPr>
          <w:hyperlink w:anchor="_Toc86157151" w:history="1">
            <w:r w:rsidR="00544630" w:rsidRPr="00C53449">
              <w:rPr>
                <w:rStyle w:val="Hyperlink"/>
                <w:noProof/>
              </w:rPr>
              <w:t>5.6.</w:t>
            </w:r>
            <w:r w:rsidR="00544630">
              <w:rPr>
                <w:rFonts w:eastAsiaTheme="minorEastAsia"/>
                <w:noProof/>
                <w:lang w:eastAsia="et-EE"/>
              </w:rPr>
              <w:tab/>
            </w:r>
            <w:r w:rsidR="00544630" w:rsidRPr="00C53449">
              <w:rPr>
                <w:rStyle w:val="Hyperlink"/>
                <w:noProof/>
              </w:rPr>
              <w:t>Käivitatud võimsuse selgitus</w:t>
            </w:r>
            <w:r w:rsidR="00544630">
              <w:rPr>
                <w:noProof/>
                <w:webHidden/>
              </w:rPr>
              <w:tab/>
            </w:r>
            <w:r w:rsidR="00544630">
              <w:rPr>
                <w:noProof/>
                <w:webHidden/>
              </w:rPr>
              <w:fldChar w:fldCharType="begin"/>
            </w:r>
            <w:r w:rsidR="00544630">
              <w:rPr>
                <w:noProof/>
                <w:webHidden/>
              </w:rPr>
              <w:instrText xml:space="preserve"> PAGEREF _Toc86157151 \h </w:instrText>
            </w:r>
            <w:r w:rsidR="00544630">
              <w:rPr>
                <w:noProof/>
                <w:webHidden/>
              </w:rPr>
            </w:r>
            <w:r w:rsidR="00544630">
              <w:rPr>
                <w:noProof/>
                <w:webHidden/>
              </w:rPr>
              <w:fldChar w:fldCharType="separate"/>
            </w:r>
            <w:r>
              <w:rPr>
                <w:noProof/>
                <w:webHidden/>
              </w:rPr>
              <w:t>24</w:t>
            </w:r>
            <w:r w:rsidR="00544630">
              <w:rPr>
                <w:noProof/>
                <w:webHidden/>
              </w:rPr>
              <w:fldChar w:fldCharType="end"/>
            </w:r>
          </w:hyperlink>
        </w:p>
        <w:p w14:paraId="56BD245D" w14:textId="4A7024E4" w:rsidR="00544630" w:rsidRDefault="004D6392">
          <w:pPr>
            <w:pStyle w:val="TOC1"/>
            <w:tabs>
              <w:tab w:val="left" w:pos="440"/>
              <w:tab w:val="right" w:leader="dot" w:pos="9062"/>
            </w:tabs>
            <w:rPr>
              <w:rFonts w:eastAsiaTheme="minorEastAsia"/>
              <w:noProof/>
              <w:lang w:eastAsia="et-EE"/>
            </w:rPr>
          </w:pPr>
          <w:hyperlink w:anchor="_Toc86157152" w:history="1">
            <w:r w:rsidR="00544630" w:rsidRPr="00C53449">
              <w:rPr>
                <w:rStyle w:val="Hyperlink"/>
                <w:noProof/>
              </w:rPr>
              <w:t>6.</w:t>
            </w:r>
            <w:r w:rsidR="00544630">
              <w:rPr>
                <w:rFonts w:eastAsiaTheme="minorEastAsia"/>
                <w:noProof/>
                <w:lang w:eastAsia="et-EE"/>
              </w:rPr>
              <w:tab/>
            </w:r>
            <w:r w:rsidR="00544630" w:rsidRPr="00C53449">
              <w:rPr>
                <w:rStyle w:val="Hyperlink"/>
                <w:noProof/>
              </w:rPr>
              <w:t>Võimsusmehhanismi süsteemi rahastus</w:t>
            </w:r>
            <w:r w:rsidR="00544630">
              <w:rPr>
                <w:noProof/>
                <w:webHidden/>
              </w:rPr>
              <w:tab/>
            </w:r>
            <w:r w:rsidR="00544630">
              <w:rPr>
                <w:noProof/>
                <w:webHidden/>
              </w:rPr>
              <w:fldChar w:fldCharType="begin"/>
            </w:r>
            <w:r w:rsidR="00544630">
              <w:rPr>
                <w:noProof/>
                <w:webHidden/>
              </w:rPr>
              <w:instrText xml:space="preserve"> PAGEREF _Toc86157152 \h </w:instrText>
            </w:r>
            <w:r w:rsidR="00544630">
              <w:rPr>
                <w:noProof/>
                <w:webHidden/>
              </w:rPr>
            </w:r>
            <w:r w:rsidR="00544630">
              <w:rPr>
                <w:noProof/>
                <w:webHidden/>
              </w:rPr>
              <w:fldChar w:fldCharType="separate"/>
            </w:r>
            <w:r>
              <w:rPr>
                <w:noProof/>
                <w:webHidden/>
              </w:rPr>
              <w:t>25</w:t>
            </w:r>
            <w:r w:rsidR="00544630">
              <w:rPr>
                <w:noProof/>
                <w:webHidden/>
              </w:rPr>
              <w:fldChar w:fldCharType="end"/>
            </w:r>
          </w:hyperlink>
        </w:p>
        <w:p w14:paraId="3128EFE8" w14:textId="21F3AEBD" w:rsidR="00544630" w:rsidRDefault="004D6392">
          <w:pPr>
            <w:pStyle w:val="TOC2"/>
            <w:tabs>
              <w:tab w:val="left" w:pos="880"/>
              <w:tab w:val="right" w:leader="dot" w:pos="9062"/>
            </w:tabs>
            <w:rPr>
              <w:rFonts w:eastAsiaTheme="minorEastAsia"/>
              <w:noProof/>
              <w:lang w:eastAsia="et-EE"/>
            </w:rPr>
          </w:pPr>
          <w:hyperlink w:anchor="_Toc86157153" w:history="1">
            <w:r w:rsidR="00544630" w:rsidRPr="00C53449">
              <w:rPr>
                <w:rStyle w:val="Hyperlink"/>
                <w:noProof/>
              </w:rPr>
              <w:t>6.1.</w:t>
            </w:r>
            <w:r w:rsidR="00544630">
              <w:rPr>
                <w:rFonts w:eastAsiaTheme="minorEastAsia"/>
                <w:noProof/>
                <w:lang w:eastAsia="et-EE"/>
              </w:rPr>
              <w:tab/>
            </w:r>
            <w:r w:rsidR="00544630" w:rsidRPr="00C53449">
              <w:rPr>
                <w:rStyle w:val="Hyperlink"/>
                <w:noProof/>
              </w:rPr>
              <w:t>Võimsusmaksed võimsuste pakkujatele</w:t>
            </w:r>
            <w:r w:rsidR="00544630">
              <w:rPr>
                <w:noProof/>
                <w:webHidden/>
              </w:rPr>
              <w:tab/>
            </w:r>
            <w:r w:rsidR="00544630">
              <w:rPr>
                <w:noProof/>
                <w:webHidden/>
              </w:rPr>
              <w:fldChar w:fldCharType="begin"/>
            </w:r>
            <w:r w:rsidR="00544630">
              <w:rPr>
                <w:noProof/>
                <w:webHidden/>
              </w:rPr>
              <w:instrText xml:space="preserve"> PAGEREF _Toc86157153 \h </w:instrText>
            </w:r>
            <w:r w:rsidR="00544630">
              <w:rPr>
                <w:noProof/>
                <w:webHidden/>
              </w:rPr>
            </w:r>
            <w:r w:rsidR="00544630">
              <w:rPr>
                <w:noProof/>
                <w:webHidden/>
              </w:rPr>
              <w:fldChar w:fldCharType="separate"/>
            </w:r>
            <w:r>
              <w:rPr>
                <w:noProof/>
                <w:webHidden/>
              </w:rPr>
              <w:t>25</w:t>
            </w:r>
            <w:r w:rsidR="00544630">
              <w:rPr>
                <w:noProof/>
                <w:webHidden/>
              </w:rPr>
              <w:fldChar w:fldCharType="end"/>
            </w:r>
          </w:hyperlink>
        </w:p>
        <w:p w14:paraId="0A88753F" w14:textId="423A4D4B" w:rsidR="00544630" w:rsidRDefault="004D6392">
          <w:pPr>
            <w:pStyle w:val="TOC2"/>
            <w:tabs>
              <w:tab w:val="left" w:pos="880"/>
              <w:tab w:val="right" w:leader="dot" w:pos="9062"/>
            </w:tabs>
            <w:rPr>
              <w:rFonts w:eastAsiaTheme="minorEastAsia"/>
              <w:noProof/>
              <w:lang w:eastAsia="et-EE"/>
            </w:rPr>
          </w:pPr>
          <w:hyperlink w:anchor="_Toc86157154" w:history="1">
            <w:r w:rsidR="00544630" w:rsidRPr="00C53449">
              <w:rPr>
                <w:rStyle w:val="Hyperlink"/>
                <w:noProof/>
              </w:rPr>
              <w:t>6.2.</w:t>
            </w:r>
            <w:r w:rsidR="00544630">
              <w:rPr>
                <w:rFonts w:eastAsiaTheme="minorEastAsia"/>
                <w:noProof/>
                <w:lang w:eastAsia="et-EE"/>
              </w:rPr>
              <w:tab/>
            </w:r>
            <w:r w:rsidR="00544630" w:rsidRPr="00C53449">
              <w:rPr>
                <w:rStyle w:val="Hyperlink"/>
                <w:noProof/>
              </w:rPr>
              <w:t>Strateegilise reservi tasu kogumine</w:t>
            </w:r>
            <w:r w:rsidR="00544630">
              <w:rPr>
                <w:noProof/>
                <w:webHidden/>
              </w:rPr>
              <w:tab/>
            </w:r>
            <w:r w:rsidR="00544630">
              <w:rPr>
                <w:noProof/>
                <w:webHidden/>
              </w:rPr>
              <w:fldChar w:fldCharType="begin"/>
            </w:r>
            <w:r w:rsidR="00544630">
              <w:rPr>
                <w:noProof/>
                <w:webHidden/>
              </w:rPr>
              <w:instrText xml:space="preserve"> PAGEREF _Toc86157154 \h </w:instrText>
            </w:r>
            <w:r w:rsidR="00544630">
              <w:rPr>
                <w:noProof/>
                <w:webHidden/>
              </w:rPr>
            </w:r>
            <w:r w:rsidR="00544630">
              <w:rPr>
                <w:noProof/>
                <w:webHidden/>
              </w:rPr>
              <w:fldChar w:fldCharType="separate"/>
            </w:r>
            <w:r>
              <w:rPr>
                <w:noProof/>
                <w:webHidden/>
              </w:rPr>
              <w:t>25</w:t>
            </w:r>
            <w:r w:rsidR="00544630">
              <w:rPr>
                <w:noProof/>
                <w:webHidden/>
              </w:rPr>
              <w:fldChar w:fldCharType="end"/>
            </w:r>
          </w:hyperlink>
        </w:p>
        <w:p w14:paraId="30069CD2" w14:textId="5EC9A8B3" w:rsidR="00544630" w:rsidRDefault="004D6392">
          <w:pPr>
            <w:pStyle w:val="TOC2"/>
            <w:tabs>
              <w:tab w:val="left" w:pos="880"/>
              <w:tab w:val="right" w:leader="dot" w:pos="9062"/>
            </w:tabs>
            <w:rPr>
              <w:rFonts w:eastAsiaTheme="minorEastAsia"/>
              <w:noProof/>
              <w:lang w:eastAsia="et-EE"/>
            </w:rPr>
          </w:pPr>
          <w:hyperlink w:anchor="_Toc86157155" w:history="1">
            <w:r w:rsidR="00544630" w:rsidRPr="00C53449">
              <w:rPr>
                <w:rStyle w:val="Hyperlink"/>
                <w:noProof/>
              </w:rPr>
              <w:t>6.3.</w:t>
            </w:r>
            <w:r w:rsidR="00544630">
              <w:rPr>
                <w:rFonts w:eastAsiaTheme="minorEastAsia"/>
                <w:noProof/>
                <w:lang w:eastAsia="et-EE"/>
              </w:rPr>
              <w:tab/>
            </w:r>
            <w:r w:rsidR="00544630" w:rsidRPr="00C53449">
              <w:rPr>
                <w:rStyle w:val="Hyperlink"/>
                <w:noProof/>
              </w:rPr>
              <w:t>Mehhanismi administreerimise kulud</w:t>
            </w:r>
            <w:r w:rsidR="00544630">
              <w:rPr>
                <w:noProof/>
                <w:webHidden/>
              </w:rPr>
              <w:tab/>
            </w:r>
            <w:r w:rsidR="00544630">
              <w:rPr>
                <w:noProof/>
                <w:webHidden/>
              </w:rPr>
              <w:fldChar w:fldCharType="begin"/>
            </w:r>
            <w:r w:rsidR="00544630">
              <w:rPr>
                <w:noProof/>
                <w:webHidden/>
              </w:rPr>
              <w:instrText xml:space="preserve"> PAGEREF _Toc86157155 \h </w:instrText>
            </w:r>
            <w:r w:rsidR="00544630">
              <w:rPr>
                <w:noProof/>
                <w:webHidden/>
              </w:rPr>
            </w:r>
            <w:r w:rsidR="00544630">
              <w:rPr>
                <w:noProof/>
                <w:webHidden/>
              </w:rPr>
              <w:fldChar w:fldCharType="separate"/>
            </w:r>
            <w:r>
              <w:rPr>
                <w:noProof/>
                <w:webHidden/>
              </w:rPr>
              <w:t>26</w:t>
            </w:r>
            <w:r w:rsidR="00544630">
              <w:rPr>
                <w:noProof/>
                <w:webHidden/>
              </w:rPr>
              <w:fldChar w:fldCharType="end"/>
            </w:r>
          </w:hyperlink>
        </w:p>
        <w:p w14:paraId="133AFA17" w14:textId="3A1C57D4" w:rsidR="000C031F" w:rsidRPr="00124486" w:rsidRDefault="00F62518" w:rsidP="009228F8">
          <w:pPr>
            <w:pStyle w:val="TOC1"/>
            <w:tabs>
              <w:tab w:val="left" w:pos="440"/>
              <w:tab w:val="right" w:leader="dot" w:pos="9062"/>
            </w:tabs>
          </w:pPr>
          <w:r>
            <w:rPr>
              <w:noProof/>
            </w:rPr>
            <w:fldChar w:fldCharType="end"/>
          </w:r>
        </w:p>
      </w:sdtContent>
    </w:sdt>
    <w:p w14:paraId="21858579" w14:textId="7C84F1BE" w:rsidR="000F5F3A" w:rsidRDefault="000F5F3A" w:rsidP="00612147">
      <w:pPr>
        <w:pStyle w:val="Heading1"/>
        <w:jc w:val="both"/>
      </w:pPr>
      <w:bookmarkStart w:id="0" w:name="_Toc86157123"/>
      <w:r>
        <w:lastRenderedPageBreak/>
        <w:t>Lühendite loetelu</w:t>
      </w:r>
      <w:bookmarkEnd w:id="0"/>
    </w:p>
    <w:p w14:paraId="79392D53" w14:textId="6D1D75AB" w:rsidR="00961CF8" w:rsidRDefault="00961CF8" w:rsidP="00612147">
      <w:pPr>
        <w:jc w:val="both"/>
      </w:pPr>
      <w:r w:rsidRPr="00327091">
        <w:rPr>
          <w:rStyle w:val="Strong"/>
        </w:rPr>
        <w:t>VoLL</w:t>
      </w:r>
      <w:r w:rsidR="000C031F">
        <w:t xml:space="preserve"> </w:t>
      </w:r>
      <w:r>
        <w:t>- Value of Lost Load [€/MWh]</w:t>
      </w:r>
      <w:r w:rsidR="00177450">
        <w:t xml:space="preserve"> </w:t>
      </w:r>
      <w:r>
        <w:t>- Andmata jäänud energia hind</w:t>
      </w:r>
      <w:r w:rsidR="00177450">
        <w:t xml:space="preserve"> </w:t>
      </w:r>
      <w:r>
        <w:t>- hinnang maksimaalsele elektrihinnale, mida tarbija on nõus maksma elektrikatkestusest hoidumise eest</w:t>
      </w:r>
      <w:r w:rsidR="00177450">
        <w:t>.</w:t>
      </w:r>
    </w:p>
    <w:p w14:paraId="08234213" w14:textId="4B1ED427" w:rsidR="000F5F3A" w:rsidRDefault="000F5F3A" w:rsidP="00612147">
      <w:pPr>
        <w:jc w:val="both"/>
      </w:pPr>
      <w:r w:rsidRPr="00327091">
        <w:rPr>
          <w:rStyle w:val="Strong"/>
        </w:rPr>
        <w:t>LOLE</w:t>
      </w:r>
      <w:r w:rsidR="000C031F">
        <w:t xml:space="preserve"> </w:t>
      </w:r>
      <w:r w:rsidR="00894A95">
        <w:t xml:space="preserve">- </w:t>
      </w:r>
      <w:r w:rsidR="001A3A67">
        <w:t>Loss of Load Expectation</w:t>
      </w:r>
      <w:r w:rsidR="00177450">
        <w:t xml:space="preserve"> </w:t>
      </w:r>
      <w:r w:rsidR="00961CF8">
        <w:t>[h/a] - Piirangutundide arv, mis näitab mitmel tunnil aastast võib oodata olukorda, kus tekib andmata jäänud energia ja turupõhiselt ei ole piisavalt ressursse, et tarbimine katta.</w:t>
      </w:r>
    </w:p>
    <w:p w14:paraId="3B11E8A4" w14:textId="07297A2C" w:rsidR="00961CF8" w:rsidRDefault="00961CF8" w:rsidP="00612147">
      <w:pPr>
        <w:jc w:val="both"/>
      </w:pPr>
      <w:r w:rsidRPr="00327091">
        <w:rPr>
          <w:rStyle w:val="Strong"/>
        </w:rPr>
        <w:t>ENS</w:t>
      </w:r>
      <w:r w:rsidR="000C031F">
        <w:t xml:space="preserve"> </w:t>
      </w:r>
      <w:r>
        <w:t xml:space="preserve">- Energy Not Served </w:t>
      </w:r>
      <w:r w:rsidR="00177450">
        <w:t xml:space="preserve">[GWh/a] </w:t>
      </w:r>
      <w:r>
        <w:t xml:space="preserve">- andmata jäänud elektrienergia kogus, mis näitab, et koostatud simulatsiooni põhjal ei suudeta turupõhiste tootmisvõimsustega katta tarbimisvajadust. </w:t>
      </w:r>
    </w:p>
    <w:p w14:paraId="6FBD0685" w14:textId="1098440E" w:rsidR="00961CF8" w:rsidRDefault="00961CF8" w:rsidP="00612147">
      <w:pPr>
        <w:jc w:val="both"/>
      </w:pPr>
      <w:r w:rsidRPr="00327091">
        <w:rPr>
          <w:rStyle w:val="Strong"/>
        </w:rPr>
        <w:t>EENS</w:t>
      </w:r>
      <w:r w:rsidR="000C031F">
        <w:t xml:space="preserve"> </w:t>
      </w:r>
      <w:r>
        <w:t xml:space="preserve">- Expected Energy Not Served [GWh/a] </w:t>
      </w:r>
      <w:r w:rsidR="00177450">
        <w:t xml:space="preserve">- </w:t>
      </w:r>
      <w:r>
        <w:t>Valitud geograafilise ala (enamasti riigi) matemaatiline keskmine oodatav andmata jäänud energia kogus. Hinnangu raames viiakse Monte Carlo meetodit kasutades läbi mitmeid simulatsioone, mille põhjal leitakse keskmine väärtus andmata jäänud energiale</w:t>
      </w:r>
      <w:r w:rsidR="00177450">
        <w:t>.</w:t>
      </w:r>
      <w:r>
        <w:t xml:space="preserve"> </w:t>
      </w:r>
    </w:p>
    <w:p w14:paraId="2C90484C" w14:textId="32C6D192" w:rsidR="00F21876" w:rsidRDefault="00F21876" w:rsidP="00612147">
      <w:pPr>
        <w:jc w:val="both"/>
      </w:pPr>
      <w:r w:rsidRPr="00327091">
        <w:rPr>
          <w:rStyle w:val="Strong"/>
        </w:rPr>
        <w:t>CONE</w:t>
      </w:r>
      <w:r>
        <w:t xml:space="preserve"> - </w:t>
      </w:r>
      <w:r w:rsidR="00EB1600" w:rsidRPr="00EB1600">
        <w:t xml:space="preserve"> </w:t>
      </w:r>
      <w:r w:rsidR="00EB1600">
        <w:t xml:space="preserve">Cost Of New Entry [€/MW] - </w:t>
      </w:r>
      <w:r w:rsidR="00EB1600" w:rsidRPr="00EF187A">
        <w:rPr>
          <w:lang w:eastAsia="et-EE"/>
        </w:rPr>
        <w:t>tasandatud</w:t>
      </w:r>
      <w:r w:rsidR="00EB1600">
        <w:rPr>
          <w:lang w:eastAsia="et-EE"/>
        </w:rPr>
        <w:t xml:space="preserve"> uue</w:t>
      </w:r>
      <w:r w:rsidR="00EB1600" w:rsidRPr="00EF187A">
        <w:rPr>
          <w:lang w:eastAsia="et-EE"/>
        </w:rPr>
        <w:t xml:space="preserve"> lisandvõimsuse maksumus.</w:t>
      </w:r>
    </w:p>
    <w:p w14:paraId="39BD8AA2" w14:textId="4F9A4556" w:rsidR="000F5F3A" w:rsidRDefault="000F5F3A" w:rsidP="00612147">
      <w:pPr>
        <w:jc w:val="both"/>
      </w:pPr>
      <w:r w:rsidRPr="00327091">
        <w:rPr>
          <w:rStyle w:val="Strong"/>
        </w:rPr>
        <w:t>ACER</w:t>
      </w:r>
      <w:r w:rsidR="005C0AB5">
        <w:t xml:space="preserve"> - </w:t>
      </w:r>
      <w:r w:rsidR="00177450">
        <w:t>Agency for the Cooperation of Energy Regulators</w:t>
      </w:r>
      <w:r w:rsidR="00177450" w:rsidRPr="005C0AB5">
        <w:t xml:space="preserve"> </w:t>
      </w:r>
      <w:r w:rsidR="00177450">
        <w:t xml:space="preserve">- </w:t>
      </w:r>
      <w:r w:rsidR="005C0AB5" w:rsidRPr="005C0AB5">
        <w:t>Energeetikasektorit reguleerivate asutuste koostööamet</w:t>
      </w:r>
      <w:r w:rsidR="00177450">
        <w:t>.</w:t>
      </w:r>
      <w:r w:rsidR="005C0AB5">
        <w:t xml:space="preserve"> ()</w:t>
      </w:r>
    </w:p>
    <w:p w14:paraId="1083E713" w14:textId="2820CF6E" w:rsidR="00F21876" w:rsidRDefault="00F21876" w:rsidP="00612147">
      <w:pPr>
        <w:jc w:val="both"/>
      </w:pPr>
      <w:r w:rsidRPr="00327091">
        <w:rPr>
          <w:rStyle w:val="Strong"/>
        </w:rPr>
        <w:t>ENTSO-E</w:t>
      </w:r>
      <w:r w:rsidR="002F3FB8">
        <w:t xml:space="preserve"> – </w:t>
      </w:r>
      <w:r w:rsidR="00177450" w:rsidRPr="002F3FB8">
        <w:t>European Network of Transmission System Operators for</w:t>
      </w:r>
      <w:r w:rsidR="00177450">
        <w:t xml:space="preserve"> Electricity</w:t>
      </w:r>
      <w:r w:rsidR="00177450" w:rsidRPr="002F3FB8">
        <w:t xml:space="preserve"> </w:t>
      </w:r>
      <w:r w:rsidR="00177450">
        <w:t xml:space="preserve">- </w:t>
      </w:r>
      <w:r w:rsidR="002F3FB8" w:rsidRPr="002F3FB8">
        <w:t>Euroopa elektri põhivõrguettevõtjate võrgustik</w:t>
      </w:r>
      <w:r w:rsidR="00177450">
        <w:t>.</w:t>
      </w:r>
      <w:r w:rsidR="002F3FB8" w:rsidRPr="002F3FB8">
        <w:t xml:space="preserve"> </w:t>
      </w:r>
      <w:r w:rsidR="002F3FB8">
        <w:t>()</w:t>
      </w:r>
    </w:p>
    <w:p w14:paraId="70C21C2F" w14:textId="55C10F9E" w:rsidR="00961CF8" w:rsidRDefault="003F3F43" w:rsidP="00C614DB">
      <w:pPr>
        <w:jc w:val="both"/>
      </w:pPr>
      <w:r w:rsidRPr="00327091">
        <w:rPr>
          <w:rStyle w:val="Strong"/>
        </w:rPr>
        <w:t>LFC plokk</w:t>
      </w:r>
      <w:r w:rsidR="002F3FB8">
        <w:t xml:space="preserve"> </w:t>
      </w:r>
      <w:r w:rsidR="00177450">
        <w:t xml:space="preserve">- </w:t>
      </w:r>
      <w:r w:rsidR="002F3FB8">
        <w:t xml:space="preserve">Load Frequency Control block – elektrivõrgu sünkroonala piirkond, mis koosneb ühest kuni mitmest LFC alast, mis täidavad sageduse hoidmise kohustust </w:t>
      </w:r>
      <w:r w:rsidR="00314F42">
        <w:t xml:space="preserve">Euroopa Komisjoni määruse 2017/1485 artikli </w:t>
      </w:r>
      <w:r w:rsidR="002F3FB8">
        <w:t>3(18)</w:t>
      </w:r>
      <w:r w:rsidR="00314F42">
        <w:t xml:space="preserve"> mõistes.</w:t>
      </w:r>
    </w:p>
    <w:p w14:paraId="74F5B912" w14:textId="0304DA1E" w:rsidR="00961CF8" w:rsidRDefault="00961CF8" w:rsidP="00612147">
      <w:pPr>
        <w:jc w:val="both"/>
      </w:pPr>
      <w:r w:rsidRPr="00327091">
        <w:rPr>
          <w:rStyle w:val="Strong"/>
        </w:rPr>
        <w:t>ERAA</w:t>
      </w:r>
      <w:r w:rsidR="000C031F">
        <w:t xml:space="preserve"> </w:t>
      </w:r>
      <w:r>
        <w:t>- European Resource Adequacy Assessment</w:t>
      </w:r>
      <w:r w:rsidR="00177450">
        <w:t xml:space="preserve"> </w:t>
      </w:r>
      <w:r>
        <w:t xml:space="preserve">- Iga-aastane üleeuroopaline </w:t>
      </w:r>
      <w:r w:rsidR="00177450">
        <w:t xml:space="preserve">süsteemi võimekuse </w:t>
      </w:r>
      <w:r>
        <w:t>hinnang, mis teostatakse ENTSO</w:t>
      </w:r>
      <w:r w:rsidR="00177450">
        <w:t>-</w:t>
      </w:r>
      <w:r>
        <w:t>E poolt. Kõik Euroopa TSO-d on kohustatud selleks jagama sisendandmeid elektrisüsteemi kohta.</w:t>
      </w:r>
    </w:p>
    <w:p w14:paraId="1B9184AE" w14:textId="6C305337" w:rsidR="00226F13" w:rsidRDefault="00177450" w:rsidP="00612147">
      <w:pPr>
        <w:jc w:val="both"/>
      </w:pPr>
      <w:r w:rsidRPr="00327091">
        <w:rPr>
          <w:rStyle w:val="Strong"/>
        </w:rPr>
        <w:t>Süsteemi</w:t>
      </w:r>
      <w:r>
        <w:rPr>
          <w:rStyle w:val="Strong"/>
        </w:rPr>
        <w:t xml:space="preserve"> võimekuse</w:t>
      </w:r>
      <w:r w:rsidRPr="00327091">
        <w:rPr>
          <w:rStyle w:val="Strong"/>
        </w:rPr>
        <w:t xml:space="preserve"> </w:t>
      </w:r>
      <w:r w:rsidR="00226F13" w:rsidRPr="00327091">
        <w:rPr>
          <w:rStyle w:val="Strong"/>
        </w:rPr>
        <w:t>probleem</w:t>
      </w:r>
      <w:r w:rsidR="00226F13">
        <w:t xml:space="preserve"> – olukord, kus elektrisüsteemis tarbimist ei ole võimalik katta turupõhiste vahenditega, sh tootmise ja tarbimise ressursid, mis osalevad päev-ette, päevasiseselt ja süsteemiteenuste turgudel.</w:t>
      </w:r>
    </w:p>
    <w:p w14:paraId="43E5AD64" w14:textId="0CD8EB58" w:rsidR="00B92FDC" w:rsidRDefault="00B92FDC" w:rsidP="00612147">
      <w:pPr>
        <w:jc w:val="both"/>
      </w:pPr>
      <w:r w:rsidRPr="00327091">
        <w:rPr>
          <w:rStyle w:val="Strong"/>
        </w:rPr>
        <w:t>Võimsuse</w:t>
      </w:r>
      <w:r w:rsidR="00652B2F" w:rsidRPr="00327091">
        <w:rPr>
          <w:rStyle w:val="Strong"/>
        </w:rPr>
        <w:t xml:space="preserve"> </w:t>
      </w:r>
      <w:r w:rsidRPr="00327091">
        <w:rPr>
          <w:rStyle w:val="Strong"/>
        </w:rPr>
        <w:t>pakkuja</w:t>
      </w:r>
      <w:r>
        <w:t xml:space="preserve"> – elektrienergia tootmis-, tarbimis- või salvestusressurss, mis pakub strateegilise reservi teenust ja mis aktiveeritakse </w:t>
      </w:r>
      <w:r w:rsidR="00177450">
        <w:t xml:space="preserve">süsteemi võimekuse </w:t>
      </w:r>
      <w:r>
        <w:t xml:space="preserve">probleemi korral tarbimata energia minimeerimiseks. </w:t>
      </w:r>
    </w:p>
    <w:p w14:paraId="0851E4BD" w14:textId="1F31E656" w:rsidR="00C72430" w:rsidRDefault="00C72430" w:rsidP="00612147">
      <w:pPr>
        <w:pStyle w:val="Heading1"/>
        <w:numPr>
          <w:ilvl w:val="0"/>
          <w:numId w:val="24"/>
        </w:numPr>
        <w:jc w:val="both"/>
      </w:pPr>
      <w:bookmarkStart w:id="1" w:name="_Toc86157124"/>
      <w:r w:rsidRPr="00B32493">
        <w:lastRenderedPageBreak/>
        <w:t>Võimsusmehhanism ja kontseptsioonidokumendi eesmärk</w:t>
      </w:r>
      <w:bookmarkEnd w:id="1"/>
      <w:r w:rsidRPr="00B32493">
        <w:t xml:space="preserve"> </w:t>
      </w:r>
    </w:p>
    <w:p w14:paraId="15F85948" w14:textId="594AF7BE" w:rsidR="00E16361" w:rsidRDefault="00E16361" w:rsidP="00612147">
      <w:pPr>
        <w:jc w:val="both"/>
      </w:pPr>
      <w:r>
        <w:t>Käesoleva dokumendi eesmärgiks on vajaduse tekkimisel Eestis rakendatava võimsusmehhanismi kontseptsiooni kirjeldamine</w:t>
      </w:r>
      <w:r w:rsidR="00C15ACC">
        <w:t xml:space="preserve"> ning sellele turuosaliste tagasiside saamine</w:t>
      </w:r>
      <w:r>
        <w:t xml:space="preserve">. </w:t>
      </w:r>
      <w:r w:rsidR="00C15ACC">
        <w:t>Vastavalt kontseptsioonile ja turuosaliste tagasisidele pannakse vajadusel kokku strateegilise reservi reeglistik, mille kinnitab</w:t>
      </w:r>
      <w:r w:rsidR="00A808F8">
        <w:t xml:space="preserve"> vastavalt kontseptsiooni ettepanekule</w:t>
      </w:r>
      <w:r w:rsidR="00C15ACC">
        <w:t xml:space="preserve"> enne rakendamist Konkurentsiamet.</w:t>
      </w:r>
    </w:p>
    <w:p w14:paraId="7385E6C9" w14:textId="2CC9AD86" w:rsidR="00E16361" w:rsidRDefault="00E16361" w:rsidP="00612147">
      <w:pPr>
        <w:jc w:val="both"/>
      </w:pPr>
      <w:r>
        <w:t>Käesolevas kontseptsioonidokumendis kirjeldatakse Eesti jaoks sobivaima</w:t>
      </w:r>
      <w:r w:rsidR="00DB424D">
        <w:t>t</w:t>
      </w:r>
      <w:r>
        <w:t xml:space="preserve"> võimsusmehhanismi</w:t>
      </w:r>
      <w:r w:rsidR="00C15ACC">
        <w:t xml:space="preserve"> -</w:t>
      </w:r>
      <w:r>
        <w:t xml:space="preserve"> </w:t>
      </w:r>
      <w:r w:rsidR="00C15ACC">
        <w:t xml:space="preserve">strateegilist </w:t>
      </w:r>
      <w:r>
        <w:t>reservi. Kontseptsioonidokument sisaldab ettepanekut strateegilise reservi rakendamise detailide osas, kuid ei tähenda, et strateegiline reserv Eestis rakendatakse.</w:t>
      </w:r>
    </w:p>
    <w:p w14:paraId="72F39FBB" w14:textId="69D655AD" w:rsidR="00E16361" w:rsidRDefault="00E16361" w:rsidP="00612147">
      <w:pPr>
        <w:jc w:val="both"/>
      </w:pPr>
      <w:r>
        <w:t>Vastavalt Elektrituruseaduse paragrahvile 38 vastutab Eesti elektri</w:t>
      </w:r>
      <w:r w:rsidR="00177450">
        <w:t xml:space="preserve">energia </w:t>
      </w:r>
      <w:r>
        <w:t xml:space="preserve">varustuskindluse eest Elering. Elering jagab varustuskindluse neljaks nn sambaks: </w:t>
      </w:r>
      <w:r w:rsidR="00177450">
        <w:t>süsteemi võimekus</w:t>
      </w:r>
      <w:r>
        <w:t xml:space="preserve">, võrgu </w:t>
      </w:r>
      <w:r w:rsidR="00177450">
        <w:t>võimekus</w:t>
      </w:r>
      <w:r>
        <w:t xml:space="preserve">, </w:t>
      </w:r>
      <w:r w:rsidR="00177450">
        <w:t xml:space="preserve">juhtimise võimekus </w:t>
      </w:r>
      <w:r>
        <w:t xml:space="preserve">ja </w:t>
      </w:r>
      <w:r w:rsidR="00C15ACC">
        <w:t xml:space="preserve">digitaalne võimekus </w:t>
      </w:r>
      <w:r w:rsidR="004E02A2">
        <w:t>(</w:t>
      </w:r>
      <w:r w:rsidR="004E02A2" w:rsidRPr="00652DA0">
        <w:rPr>
          <w:highlight w:val="lightGray"/>
        </w:rPr>
        <w:t>joonis 1)</w:t>
      </w:r>
      <w:r w:rsidRPr="00652DA0">
        <w:rPr>
          <w:highlight w:val="lightGray"/>
        </w:rPr>
        <w:t>.</w:t>
      </w:r>
      <w:r>
        <w:t xml:space="preserve"> </w:t>
      </w:r>
      <w:r w:rsidR="00177450">
        <w:rPr>
          <w:lang w:eastAsia="et-EE"/>
        </w:rPr>
        <w:t xml:space="preserve">Süsteemi võimekusena </w:t>
      </w:r>
      <w:r>
        <w:rPr>
          <w:lang w:eastAsia="et-EE"/>
        </w:rPr>
        <w:t xml:space="preserve">vaatleb Elering olukorda, kus oodatav tarbimine on kaetud kohaliku tootmise, impordivõimaluste ning tarbimise juhtimise võimalustega. Võrgu </w:t>
      </w:r>
      <w:r w:rsidR="00177450">
        <w:rPr>
          <w:lang w:eastAsia="et-EE"/>
        </w:rPr>
        <w:t xml:space="preserve">võimekus </w:t>
      </w:r>
      <w:r>
        <w:rPr>
          <w:lang w:eastAsia="et-EE"/>
        </w:rPr>
        <w:t xml:space="preserve">tähendab, et ülekandevõrk on võimsuste ja töökindluse mõttes piisav, et tagada energia jõudmine </w:t>
      </w:r>
      <w:r w:rsidRPr="00160CC8">
        <w:rPr>
          <w:lang w:eastAsia="et-EE"/>
        </w:rPr>
        <w:t>tarbimiskeskustesse</w:t>
      </w:r>
      <w:r>
        <w:rPr>
          <w:lang w:eastAsia="et-EE"/>
        </w:rPr>
        <w:t xml:space="preserve">. </w:t>
      </w:r>
      <w:r w:rsidR="00177450">
        <w:rPr>
          <w:lang w:eastAsia="et-EE"/>
        </w:rPr>
        <w:t>Juhtimise võimekus</w:t>
      </w:r>
      <w:r>
        <w:rPr>
          <w:lang w:eastAsia="et-EE"/>
        </w:rPr>
        <w:t xml:space="preserve"> on v</w:t>
      </w:r>
      <w:r w:rsidRPr="00160CC8">
        <w:rPr>
          <w:lang w:eastAsia="et-EE"/>
        </w:rPr>
        <w:t xml:space="preserve">õimekus hoida elektrisüsteem tervikuna </w:t>
      </w:r>
      <w:r>
        <w:rPr>
          <w:lang w:eastAsia="et-EE"/>
        </w:rPr>
        <w:t>töös</w:t>
      </w:r>
      <w:r w:rsidRPr="00160CC8">
        <w:rPr>
          <w:lang w:eastAsia="et-EE"/>
        </w:rPr>
        <w:t xml:space="preserve"> ning tulla toime erinevate häiringute ja avariidega</w:t>
      </w:r>
      <w:r>
        <w:rPr>
          <w:lang w:eastAsia="et-EE"/>
        </w:rPr>
        <w:t xml:space="preserve">. </w:t>
      </w:r>
      <w:r w:rsidR="00D53291">
        <w:rPr>
          <w:lang w:eastAsia="et-EE"/>
        </w:rPr>
        <w:t>Digitaalne võimekus</w:t>
      </w:r>
      <w:r>
        <w:rPr>
          <w:lang w:eastAsia="et-EE"/>
        </w:rPr>
        <w:t xml:space="preserve"> on võimekus</w:t>
      </w:r>
      <w:r w:rsidR="00D53291">
        <w:rPr>
          <w:lang w:eastAsia="et-EE"/>
        </w:rPr>
        <w:t xml:space="preserve"> võtta kasutusele rohkem digitaalseid lahendusi ja seejuures</w:t>
      </w:r>
      <w:r>
        <w:rPr>
          <w:lang w:eastAsia="et-EE"/>
        </w:rPr>
        <w:t xml:space="preserve"> vältida küberohte aina enam digitaliseeruvas energiasüsteemis.</w:t>
      </w:r>
      <w:r>
        <w:t xml:space="preserve"> Kõrge varustuskindluse taseme tagamiseks on oluline kõigi nelja varustuskindluse samba üheaegne tugev täitmine.</w:t>
      </w:r>
    </w:p>
    <w:p w14:paraId="0743CCBC" w14:textId="6020BD49" w:rsidR="00E16361" w:rsidRDefault="00E16361" w:rsidP="00612147">
      <w:pPr>
        <w:jc w:val="both"/>
      </w:pPr>
      <w:r>
        <w:t xml:space="preserve">Võimsusmehhanism on vahend </w:t>
      </w:r>
      <w:r w:rsidR="00177450" w:rsidRPr="003F3F43">
        <w:rPr>
          <w:b/>
          <w:bCs/>
        </w:rPr>
        <w:t>süsteemi</w:t>
      </w:r>
      <w:r w:rsidR="00177450">
        <w:rPr>
          <w:b/>
          <w:bCs/>
        </w:rPr>
        <w:t xml:space="preserve"> võimekuse</w:t>
      </w:r>
      <w:r w:rsidR="00177450">
        <w:t xml:space="preserve"> </w:t>
      </w:r>
      <w:r>
        <w:t xml:space="preserve">tagamiseks, mille ülesandeks on tagada pikaajaline tarbimise katmine piisava tootmise, impordivõimekuse ja tarbimise juhtimisega. Võimsusmehhanismi näol on tegemist riigiabiga, millega tagatakse piisav </w:t>
      </w:r>
      <w:r w:rsidR="00177450">
        <w:t xml:space="preserve">süsteemi võimekuse </w:t>
      </w:r>
      <w:r>
        <w:t xml:space="preserve">tase riigis, kus see kehtestatakse. </w:t>
      </w:r>
      <w:r w:rsidRPr="00052346">
        <w:t xml:space="preserve">Euroopa </w:t>
      </w:r>
      <w:r>
        <w:t>P</w:t>
      </w:r>
      <w:r w:rsidRPr="00052346">
        <w:t xml:space="preserve">arlamendi ja </w:t>
      </w:r>
      <w:r>
        <w:t>N</w:t>
      </w:r>
      <w:r w:rsidRPr="00052346">
        <w:t>õukogu määrus</w:t>
      </w:r>
      <w:r>
        <w:t xml:space="preserve"> </w:t>
      </w:r>
      <w:r w:rsidRPr="00052346">
        <w:t>(EL) 2019/943, milles käsitletakse elektrienergia siseturgu</w:t>
      </w:r>
      <w:r>
        <w:t>, kirjeldatakse nõuded võimsusmehhanismi vajaduse analüüsimisele ja rakendamise detailidele.</w:t>
      </w:r>
    </w:p>
    <w:p w14:paraId="4F120F41" w14:textId="3E594613" w:rsidR="00E16361" w:rsidRDefault="00E16361" w:rsidP="00612147">
      <w:pPr>
        <w:jc w:val="both"/>
      </w:pPr>
      <w:r>
        <w:t xml:space="preserve">Vastavalt määrusele võib liikmesriik rakendada võimsusmehhanismi, kui liikmesriigis on tuvastatud </w:t>
      </w:r>
      <w:r w:rsidR="00177450">
        <w:t xml:space="preserve">süsteemi võimekuse </w:t>
      </w:r>
      <w:r>
        <w:t xml:space="preserve">probleem ning liikmesriik on mõistlikult eemaldanud </w:t>
      </w:r>
      <w:r w:rsidRPr="0033239D">
        <w:t>regulatiivse</w:t>
      </w:r>
      <w:r>
        <w:t>d</w:t>
      </w:r>
      <w:r w:rsidRPr="0033239D">
        <w:t xml:space="preserve"> moonutus</w:t>
      </w:r>
      <w:r>
        <w:t>ed</w:t>
      </w:r>
      <w:r w:rsidRPr="0033239D">
        <w:t xml:space="preserve"> ja </w:t>
      </w:r>
      <w:r>
        <w:t xml:space="preserve">kõrvaldanud turutõrked vastavalt rakenduskavale. Eestis ei ole täna tuvastatud </w:t>
      </w:r>
      <w:r w:rsidR="00177450" w:rsidRPr="00736ABB">
        <w:t>süsteemi</w:t>
      </w:r>
      <w:r w:rsidR="00177450">
        <w:t xml:space="preserve"> võimekuse</w:t>
      </w:r>
      <w:r w:rsidR="00177450" w:rsidRPr="00736ABB">
        <w:t xml:space="preserve"> </w:t>
      </w:r>
      <w:r w:rsidRPr="00736ABB">
        <w:t>probleem</w:t>
      </w:r>
      <w:r>
        <w:t>i</w:t>
      </w:r>
      <w:r w:rsidR="00884648">
        <w:t xml:space="preserve"> üle sätestatud varustuskindluse normi</w:t>
      </w:r>
      <w:r>
        <w:t xml:space="preserve"> ning seetõttu pole </w:t>
      </w:r>
      <w:r w:rsidR="00451AAD">
        <w:t xml:space="preserve">hetkel </w:t>
      </w:r>
      <w:r>
        <w:t>ka vajadus</w:t>
      </w:r>
      <w:r w:rsidR="00451AAD">
        <w:t>t</w:t>
      </w:r>
      <w:r>
        <w:t xml:space="preserve"> võimsusmehhanismi rakendamiseks. Sellegipoolest </w:t>
      </w:r>
      <w:r w:rsidR="00451AAD">
        <w:t xml:space="preserve">tuleb olla valmis ka olukorraks kui süsteemi võimekuse probleemid võivad tulevikus ilmneda ning olla siis </w:t>
      </w:r>
      <w:r>
        <w:t>valmis vajadusel võimsusmehhanismi rakendama.</w:t>
      </w:r>
      <w:r w:rsidR="003F3F43">
        <w:t xml:space="preserve"> Sellest tulenevalt töötas Elering välja käesoleva võimsusmehhanismi kontseptsiooni.</w:t>
      </w:r>
    </w:p>
    <w:p w14:paraId="02E00AFB" w14:textId="6B36C8A4" w:rsidR="00E16361" w:rsidRDefault="00E63962" w:rsidP="00612147">
      <w:pPr>
        <w:jc w:val="both"/>
      </w:pPr>
      <w:r>
        <w:rPr>
          <w:noProof/>
        </w:rPr>
        <w:drawing>
          <wp:inline distT="0" distB="0" distL="0" distR="0" wp14:anchorId="725217E6" wp14:editId="5F0C4929">
            <wp:extent cx="2832100" cy="2091567"/>
            <wp:effectExtent l="0" t="0" r="635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8639" cy="2118552"/>
                    </a:xfrm>
                    <a:prstGeom prst="rect">
                      <a:avLst/>
                    </a:prstGeom>
                    <a:noFill/>
                  </pic:spPr>
                </pic:pic>
              </a:graphicData>
            </a:graphic>
          </wp:inline>
        </w:drawing>
      </w:r>
      <w:r w:rsidR="002136C3" w:rsidRPr="002136C3">
        <w:t xml:space="preserve"> </w:t>
      </w:r>
    </w:p>
    <w:p w14:paraId="6811F4E8" w14:textId="5AD3F039" w:rsidR="00E16361" w:rsidRDefault="00E16361" w:rsidP="00612147">
      <w:pPr>
        <w:pStyle w:val="Caption"/>
        <w:jc w:val="both"/>
      </w:pPr>
      <w:r>
        <w:t xml:space="preserve">Joonis </w:t>
      </w:r>
      <w:fldSimple w:instr=" SEQ Joonis \* ARABIC ">
        <w:r w:rsidR="005571FB">
          <w:rPr>
            <w:noProof/>
          </w:rPr>
          <w:t>1</w:t>
        </w:r>
      </w:fldSimple>
      <w:r>
        <w:t xml:space="preserve"> Varustuskindluse neli sammast.</w:t>
      </w:r>
    </w:p>
    <w:p w14:paraId="4AB95554" w14:textId="6A4CBE0B" w:rsidR="00C72430" w:rsidRDefault="00C72430" w:rsidP="00612147">
      <w:pPr>
        <w:pStyle w:val="Heading1"/>
        <w:numPr>
          <w:ilvl w:val="0"/>
          <w:numId w:val="24"/>
        </w:numPr>
        <w:jc w:val="both"/>
      </w:pPr>
      <w:bookmarkStart w:id="2" w:name="_Toc86157125"/>
      <w:r>
        <w:lastRenderedPageBreak/>
        <w:t>Võimsusmehhanismi vajaduse tekkimine</w:t>
      </w:r>
      <w:bookmarkEnd w:id="2"/>
    </w:p>
    <w:p w14:paraId="48CB8EF1" w14:textId="15802E31" w:rsidR="005C6498" w:rsidRDefault="00D175D0" w:rsidP="00612147">
      <w:pPr>
        <w:jc w:val="both"/>
      </w:pPr>
      <w:r>
        <w:t xml:space="preserve">Võimsusmehhanismi rakendamine on lubatud vaid </w:t>
      </w:r>
      <w:r w:rsidR="00641FCA">
        <w:t xml:space="preserve">süsteemi võimekuse </w:t>
      </w:r>
      <w:r>
        <w:t xml:space="preserve">probleemi olemasolul. </w:t>
      </w:r>
      <w:r w:rsidR="005C6498">
        <w:t>Euro</w:t>
      </w:r>
      <w:r w:rsidR="003F3F43">
        <w:t>opa P</w:t>
      </w:r>
      <w:r w:rsidR="005C6498">
        <w:t xml:space="preserve">arlamendi </w:t>
      </w:r>
      <w:r w:rsidR="005C6498" w:rsidRPr="001D5DEC">
        <w:t>ja Nõukogu määrus (EL) 2019/943</w:t>
      </w:r>
      <w:r w:rsidR="005C6498">
        <w:t xml:space="preserve">  artikkel 23</w:t>
      </w:r>
      <w:r w:rsidR="00623DA2">
        <w:rPr>
          <w:rStyle w:val="FootnoteReference"/>
        </w:rPr>
        <w:footnoteReference w:id="2"/>
      </w:r>
      <w:r w:rsidR="005C6498">
        <w:t xml:space="preserve"> ja 2020. aasta oktoobris vastu võetud ACER-i dokument </w:t>
      </w:r>
      <w:r w:rsidR="005C6498" w:rsidRPr="001D5DEC">
        <w:rPr>
          <w:i/>
          <w:iCs/>
        </w:rPr>
        <w:t>Methodology for the European resource</w:t>
      </w:r>
      <w:r w:rsidR="005C6498">
        <w:rPr>
          <w:i/>
          <w:iCs/>
        </w:rPr>
        <w:t xml:space="preserve"> </w:t>
      </w:r>
      <w:r w:rsidR="005C6498" w:rsidRPr="001D5DEC">
        <w:rPr>
          <w:i/>
          <w:iCs/>
        </w:rPr>
        <w:t>adequacy assessment</w:t>
      </w:r>
      <w:r w:rsidR="005C6498">
        <w:rPr>
          <w:i/>
          <w:iCs/>
        </w:rPr>
        <w:t xml:space="preserve"> (ERAA)</w:t>
      </w:r>
      <w:r w:rsidR="00623DA2">
        <w:rPr>
          <w:rStyle w:val="FootnoteReference"/>
          <w:i/>
          <w:iCs/>
        </w:rPr>
        <w:footnoteReference w:id="3"/>
      </w:r>
      <w:r w:rsidR="005C6498">
        <w:rPr>
          <w:i/>
          <w:iCs/>
        </w:rPr>
        <w:t xml:space="preserve"> </w:t>
      </w:r>
      <w:r w:rsidR="005C6498">
        <w:t>kirjeldavad metoodikaid, mille põhjal hinnatakse</w:t>
      </w:r>
      <w:r w:rsidR="003F3F43">
        <w:t>,</w:t>
      </w:r>
      <w:r w:rsidR="005C6498">
        <w:t xml:space="preserve"> kas mingis piirkonnas on </w:t>
      </w:r>
      <w:r w:rsidR="00641FCA">
        <w:t xml:space="preserve">süsteemi võimekus </w:t>
      </w:r>
      <w:r w:rsidR="005C6498">
        <w:t xml:space="preserve">tagatud ja kui ei ole, kuidas peaks probleemile lähenema. </w:t>
      </w:r>
    </w:p>
    <w:p w14:paraId="44378154" w14:textId="524A3012" w:rsidR="005C6498" w:rsidRDefault="005C6498" w:rsidP="00612147">
      <w:pPr>
        <w:jc w:val="both"/>
      </w:pPr>
      <w:r>
        <w:t xml:space="preserve">Euroopa </w:t>
      </w:r>
      <w:r w:rsidR="004E02A2">
        <w:t>elektri</w:t>
      </w:r>
      <w:r w:rsidRPr="001D5DEC">
        <w:t>süsteemihaldurite ühendus ENTSO-E</w:t>
      </w:r>
      <w:r>
        <w:t xml:space="preserve"> vastutab selle eest, et iga aasta koostada 10 aastat ette vaatav hinnang üle-euroopalisele </w:t>
      </w:r>
      <w:r w:rsidR="00641FCA">
        <w:t xml:space="preserve">süsteemi võimekuse </w:t>
      </w:r>
      <w:r>
        <w:t>tasemele</w:t>
      </w:r>
      <w:r w:rsidR="00884648">
        <w:t xml:space="preserve"> </w:t>
      </w:r>
      <w:r>
        <w:t>- ERAA</w:t>
      </w:r>
      <w:r w:rsidR="004E02A2">
        <w:t xml:space="preserve"> (</w:t>
      </w:r>
      <w:r>
        <w:t>European Resource Adequacy Assessment</w:t>
      </w:r>
      <w:r w:rsidR="004E02A2">
        <w:t>)</w:t>
      </w:r>
      <w:r>
        <w:t xml:space="preserve">. </w:t>
      </w:r>
      <w:r w:rsidR="00641FCA">
        <w:t xml:space="preserve">Süsteemi võimekust </w:t>
      </w:r>
      <w:r w:rsidRPr="00813537">
        <w:t>hinnatakse tõenäosusliku meetodi abil</w:t>
      </w:r>
      <w:r>
        <w:t xml:space="preserve"> ja see sisaldab endas erinevaid stsenaariume ning etappe, kus hinnatakse lisaks tehnilisele kättesaadavusele ka vananevate ja uute elektrijaamade majanduslikku jätkusuutlikkust</w:t>
      </w:r>
      <w:r w:rsidR="00961CF8">
        <w:rPr>
          <w:rStyle w:val="FootnoteReference"/>
        </w:rPr>
        <w:footnoteReference w:id="4"/>
      </w:r>
      <w:r>
        <w:t xml:space="preserve">. </w:t>
      </w:r>
    </w:p>
    <w:p w14:paraId="20693BD3" w14:textId="0516C600" w:rsidR="005C6498" w:rsidRDefault="005C6498" w:rsidP="00612147">
      <w:pPr>
        <w:jc w:val="both"/>
      </w:pPr>
      <w:r>
        <w:t>Kogu h</w:t>
      </w:r>
      <w:r w:rsidRPr="001D5DEC">
        <w:t xml:space="preserve">innang </w:t>
      </w:r>
      <w:r>
        <w:t xml:space="preserve">tugineb </w:t>
      </w:r>
      <w:r w:rsidRPr="001D5DEC">
        <w:t xml:space="preserve">Euroopa </w:t>
      </w:r>
      <w:r>
        <w:t xml:space="preserve">kohalike </w:t>
      </w:r>
      <w:r w:rsidRPr="001D5DEC">
        <w:t>süsteemioperaatorite poolt esitat</w:t>
      </w:r>
      <w:r>
        <w:t>ud</w:t>
      </w:r>
      <w:r w:rsidRPr="001D5DEC">
        <w:t xml:space="preserve"> andme</w:t>
      </w:r>
      <w:r>
        <w:t>tele</w:t>
      </w:r>
      <w:r w:rsidRPr="001D5DEC">
        <w:t xml:space="preserve"> iga riigi tootmisvõimsuste, tarbimise ning ülekandevõimsuste kohta ja kogututud andme</w:t>
      </w:r>
      <w:r>
        <w:t>te põhjal koostatakse</w:t>
      </w:r>
      <w:r w:rsidRPr="001D5DEC">
        <w:t xml:space="preserve"> üleeuroopaline turu modelleerimise andmebaas</w:t>
      </w:r>
      <w:r w:rsidR="00DB424D">
        <w:t xml:space="preserve"> (PEMMDB)</w:t>
      </w:r>
      <w:r w:rsidRPr="001D5DEC">
        <w:t>.</w:t>
      </w:r>
      <w:r>
        <w:t xml:space="preserve"> Lisaks on kasutusel üle-euroopaline kliima andmebaas, kus on 35 aasta tuule</w:t>
      </w:r>
      <w:r w:rsidR="00517FAF">
        <w:t>-</w:t>
      </w:r>
      <w:r>
        <w:t>, päikese</w:t>
      </w:r>
      <w:r w:rsidR="00517FAF">
        <w:t>- ja</w:t>
      </w:r>
      <w:r>
        <w:t xml:space="preserve"> hüdro</w:t>
      </w:r>
      <w:r w:rsidR="00517FAF">
        <w:t>energia</w:t>
      </w:r>
      <w:r>
        <w:t xml:space="preserve"> </w:t>
      </w:r>
      <w:r w:rsidR="00517FAF">
        <w:t>ning</w:t>
      </w:r>
      <w:r>
        <w:t xml:space="preserve"> </w:t>
      </w:r>
      <w:r w:rsidR="000F64B3">
        <w:t>tarbimise</w:t>
      </w:r>
      <w:r>
        <w:t xml:space="preserve"> andmeid.</w:t>
      </w:r>
    </w:p>
    <w:p w14:paraId="0028CBFF" w14:textId="33A3447B" w:rsidR="005C6498" w:rsidRDefault="005C6498" w:rsidP="00612147">
      <w:pPr>
        <w:jc w:val="both"/>
        <w:rPr>
          <w:rFonts w:eastAsia="Times New Roman"/>
        </w:rPr>
      </w:pPr>
      <w:r>
        <w:rPr>
          <w:rFonts w:eastAsia="Times New Roman"/>
        </w:rPr>
        <w:t xml:space="preserve">Analüüsist tulevad iga riigi kohta kaks peamist </w:t>
      </w:r>
      <w:r w:rsidR="00641FCA">
        <w:rPr>
          <w:rFonts w:eastAsia="Times New Roman"/>
        </w:rPr>
        <w:t xml:space="preserve">süsteemi võimekuse </w:t>
      </w:r>
      <w:r>
        <w:rPr>
          <w:rFonts w:eastAsia="Times New Roman"/>
        </w:rPr>
        <w:t xml:space="preserve">hindamise parameetrit </w:t>
      </w:r>
      <w:r>
        <w:rPr>
          <w:rFonts w:eastAsia="Times New Roman"/>
          <w:i/>
          <w:iCs/>
        </w:rPr>
        <w:t xml:space="preserve">Loss of Load Expectation (LOLE) </w:t>
      </w:r>
      <w:r>
        <w:rPr>
          <w:rFonts w:eastAsia="Times New Roman"/>
        </w:rPr>
        <w:t xml:space="preserve">ja </w:t>
      </w:r>
      <w:r>
        <w:rPr>
          <w:rFonts w:eastAsia="Times New Roman"/>
          <w:i/>
          <w:iCs/>
        </w:rPr>
        <w:t>Expected Energy Not Served (EENS)</w:t>
      </w:r>
      <w:r>
        <w:rPr>
          <w:rFonts w:eastAsia="Times New Roman"/>
        </w:rPr>
        <w:t>, mille põhjal saab öelda, kas on piisavalt res</w:t>
      </w:r>
      <w:r w:rsidR="00D53291">
        <w:rPr>
          <w:rFonts w:eastAsia="Times New Roman"/>
        </w:rPr>
        <w:t>s</w:t>
      </w:r>
      <w:r>
        <w:rPr>
          <w:rFonts w:eastAsia="Times New Roman"/>
        </w:rPr>
        <w:t xml:space="preserve">ursse, et tarbimine </w:t>
      </w:r>
      <w:r w:rsidR="00DB424D">
        <w:rPr>
          <w:rFonts w:eastAsia="Times New Roman"/>
        </w:rPr>
        <w:t xml:space="preserve">turupõhiselt </w:t>
      </w:r>
      <w:r>
        <w:rPr>
          <w:rFonts w:eastAsia="Times New Roman"/>
        </w:rPr>
        <w:t xml:space="preserve">katta või </w:t>
      </w:r>
      <w:r w:rsidR="00DB424D">
        <w:rPr>
          <w:rFonts w:eastAsia="Times New Roman"/>
        </w:rPr>
        <w:t>tekib olukordi, kus päev-ette turul ei ole piisavalt võimsusi</w:t>
      </w:r>
      <w:r>
        <w:rPr>
          <w:rFonts w:eastAsia="Times New Roman"/>
        </w:rPr>
        <w:t xml:space="preserve">. </w:t>
      </w:r>
      <w:r w:rsidR="000F64B3">
        <w:rPr>
          <w:rFonts w:eastAsia="Times New Roman"/>
        </w:rPr>
        <w:t xml:space="preserve">Selleks, et mõista kas </w:t>
      </w:r>
      <w:r w:rsidR="00641FCA">
        <w:rPr>
          <w:rFonts w:eastAsia="Times New Roman"/>
        </w:rPr>
        <w:t xml:space="preserve">süsteemi võimekuse </w:t>
      </w:r>
      <w:r w:rsidR="000F64B3">
        <w:rPr>
          <w:rFonts w:eastAsia="Times New Roman"/>
        </w:rPr>
        <w:t xml:space="preserve">analüüsist saadud numbrid </w:t>
      </w:r>
      <w:r w:rsidR="006E3EC8">
        <w:rPr>
          <w:rFonts w:eastAsia="Times New Roman"/>
        </w:rPr>
        <w:t xml:space="preserve">väljendavad probleemi või mitte on vaja </w:t>
      </w:r>
      <w:r w:rsidR="00011EDE">
        <w:rPr>
          <w:rFonts w:eastAsia="Times New Roman"/>
        </w:rPr>
        <w:t>kontekst</w:t>
      </w:r>
      <w:r w:rsidR="006E3EC8">
        <w:rPr>
          <w:rFonts w:eastAsia="Times New Roman"/>
        </w:rPr>
        <w:t>i</w:t>
      </w:r>
      <w:r w:rsidR="00011EDE">
        <w:rPr>
          <w:rFonts w:eastAsia="Times New Roman"/>
        </w:rPr>
        <w:t>, kas saadud number on „väike“ või „suur“</w:t>
      </w:r>
      <w:r w:rsidR="006E3EC8">
        <w:rPr>
          <w:rFonts w:eastAsia="Times New Roman"/>
        </w:rPr>
        <w:t xml:space="preserve">, kuna riigiti on tarbijate hinnatundlikkus ja uute tootmisvõimsuste maksumus erinev. </w:t>
      </w:r>
      <w:r w:rsidR="00011EDE">
        <w:rPr>
          <w:rFonts w:eastAsia="Times New Roman"/>
        </w:rPr>
        <w:t xml:space="preserve"> </w:t>
      </w:r>
    </w:p>
    <w:p w14:paraId="69EAB5E7" w14:textId="77777777" w:rsidR="003D2C2F" w:rsidRPr="00685433" w:rsidRDefault="003D2C2F" w:rsidP="00612147">
      <w:pPr>
        <w:pStyle w:val="Heading2"/>
        <w:numPr>
          <w:ilvl w:val="1"/>
          <w:numId w:val="24"/>
        </w:numPr>
        <w:jc w:val="both"/>
      </w:pPr>
      <w:bookmarkStart w:id="3" w:name="_Toc86157126"/>
      <w:r w:rsidRPr="00685433">
        <w:t>Varustuskindluse norm</w:t>
      </w:r>
      <w:bookmarkEnd w:id="3"/>
    </w:p>
    <w:p w14:paraId="6C514C63" w14:textId="69C4DB4D" w:rsidR="003D2C2F" w:rsidRDefault="003D2C2F" w:rsidP="00612147">
      <w:pPr>
        <w:jc w:val="both"/>
        <w:rPr>
          <w:rFonts w:eastAsia="Times New Roman"/>
        </w:rPr>
      </w:pPr>
      <w:r w:rsidRPr="002D4991">
        <w:rPr>
          <w:rFonts w:eastAsia="Times New Roman"/>
        </w:rPr>
        <w:t>Euroopa elektri siseturu määruse</w:t>
      </w:r>
      <w:r w:rsidR="00A808F8">
        <w:rPr>
          <w:rFonts w:eastAsia="Times New Roman"/>
        </w:rPr>
        <w:t xml:space="preserve"> (artikkel 23(6))</w:t>
      </w:r>
      <w:r w:rsidRPr="002D4991">
        <w:rPr>
          <w:rFonts w:eastAsia="Times New Roman"/>
        </w:rPr>
        <w:t xml:space="preserve"> järgi </w:t>
      </w:r>
      <w:r>
        <w:rPr>
          <w:rFonts w:eastAsia="Times New Roman"/>
        </w:rPr>
        <w:t xml:space="preserve">tuleb kõikidel riikidel </w:t>
      </w:r>
      <w:r w:rsidRPr="002D4991">
        <w:rPr>
          <w:rFonts w:eastAsia="Times New Roman"/>
        </w:rPr>
        <w:t>kehtestada riiklik varustuskindluse norm</w:t>
      </w:r>
      <w:r>
        <w:rPr>
          <w:rFonts w:eastAsia="Times New Roman"/>
        </w:rPr>
        <w:t>, mis on kooskõlas ühise metoodikaga</w:t>
      </w:r>
      <w:r w:rsidR="00623DA2">
        <w:rPr>
          <w:rStyle w:val="FootnoteReference"/>
          <w:rFonts w:eastAsia="Times New Roman"/>
        </w:rPr>
        <w:footnoteReference w:id="5"/>
      </w:r>
      <w:r w:rsidRPr="002D4991">
        <w:rPr>
          <w:rFonts w:eastAsia="Times New Roman"/>
        </w:rPr>
        <w:t xml:space="preserve">. Normiga määrab iga liikmesriik oma elektrisüsteemi </w:t>
      </w:r>
      <w:r w:rsidR="00641FCA">
        <w:rPr>
          <w:rFonts w:eastAsia="Times New Roman"/>
        </w:rPr>
        <w:t>võimekuse</w:t>
      </w:r>
      <w:r w:rsidR="00641FCA" w:rsidRPr="002D4991">
        <w:rPr>
          <w:rFonts w:eastAsia="Times New Roman"/>
        </w:rPr>
        <w:t xml:space="preserve"> </w:t>
      </w:r>
      <w:r w:rsidRPr="002D4991">
        <w:rPr>
          <w:rFonts w:eastAsia="Times New Roman"/>
        </w:rPr>
        <w:t xml:space="preserve">aktsepteeritava taseme ning selle vastu võrreldakse elektrisüsteemi </w:t>
      </w:r>
      <w:r w:rsidR="00641FCA">
        <w:rPr>
          <w:rFonts w:eastAsia="Times New Roman"/>
        </w:rPr>
        <w:t>võimekuse</w:t>
      </w:r>
      <w:r w:rsidR="00641FCA" w:rsidRPr="002D4991">
        <w:rPr>
          <w:rFonts w:eastAsia="Times New Roman"/>
        </w:rPr>
        <w:t xml:space="preserve"> </w:t>
      </w:r>
      <w:r w:rsidRPr="002D4991">
        <w:rPr>
          <w:rFonts w:eastAsia="Times New Roman"/>
        </w:rPr>
        <w:t>analüüsi tulemusi.</w:t>
      </w:r>
      <w:r>
        <w:rPr>
          <w:rFonts w:eastAsia="Times New Roman"/>
        </w:rPr>
        <w:t xml:space="preserve"> </w:t>
      </w:r>
      <w:r w:rsidR="005010D6">
        <w:rPr>
          <w:rFonts w:eastAsia="Times New Roman"/>
        </w:rPr>
        <w:t>Alles siis, kui</w:t>
      </w:r>
      <w:r w:rsidRPr="002D4991">
        <w:rPr>
          <w:rFonts w:eastAsia="Times New Roman"/>
        </w:rPr>
        <w:t xml:space="preserve"> tegelik süsteemi </w:t>
      </w:r>
      <w:r w:rsidR="00641FCA">
        <w:rPr>
          <w:rFonts w:eastAsia="Times New Roman"/>
        </w:rPr>
        <w:t>võimekuse</w:t>
      </w:r>
      <w:r w:rsidR="00641FCA" w:rsidRPr="002D4991">
        <w:rPr>
          <w:rFonts w:eastAsia="Times New Roman"/>
        </w:rPr>
        <w:t xml:space="preserve"> </w:t>
      </w:r>
      <w:r w:rsidRPr="002D4991">
        <w:rPr>
          <w:rFonts w:eastAsia="Times New Roman"/>
        </w:rPr>
        <w:t xml:space="preserve">olukord on kehvem kui </w:t>
      </w:r>
      <w:r>
        <w:rPr>
          <w:rFonts w:eastAsia="Times New Roman"/>
        </w:rPr>
        <w:t xml:space="preserve">normis </w:t>
      </w:r>
      <w:r w:rsidRPr="002D4991">
        <w:rPr>
          <w:rFonts w:eastAsia="Times New Roman"/>
        </w:rPr>
        <w:t>on lubatud</w:t>
      </w:r>
      <w:r>
        <w:rPr>
          <w:rFonts w:eastAsia="Times New Roman"/>
        </w:rPr>
        <w:t>, võib taotleda</w:t>
      </w:r>
      <w:r w:rsidRPr="002D4991">
        <w:rPr>
          <w:rFonts w:eastAsia="Times New Roman"/>
        </w:rPr>
        <w:t xml:space="preserve"> Euroopa Komisjonilt riigiabi loa saamist </w:t>
      </w:r>
      <w:r>
        <w:rPr>
          <w:rFonts w:eastAsia="Times New Roman"/>
        </w:rPr>
        <w:t xml:space="preserve">ning </w:t>
      </w:r>
      <w:r w:rsidRPr="002D4991">
        <w:rPr>
          <w:rFonts w:eastAsia="Times New Roman"/>
        </w:rPr>
        <w:t>kehtestada riigis võimsusmehhanism</w:t>
      </w:r>
      <w:r w:rsidR="005010D6">
        <w:rPr>
          <w:rFonts w:eastAsia="Times New Roman"/>
        </w:rPr>
        <w:t>i</w:t>
      </w:r>
      <w:r w:rsidRPr="002D4991">
        <w:rPr>
          <w:rFonts w:eastAsia="Times New Roman"/>
        </w:rPr>
        <w:t>. Võimsusmehhanism on sisuliselt riigiabi elektritootjatele või juhitavale tarbimisele, et nad oleksid valmis vajalikul hetkel oma võimsust pakkuma.</w:t>
      </w:r>
    </w:p>
    <w:p w14:paraId="37053789" w14:textId="6E066D6A" w:rsidR="001E273D" w:rsidRDefault="006C7491" w:rsidP="00612147">
      <w:pPr>
        <w:keepNext/>
        <w:jc w:val="both"/>
      </w:pPr>
      <w:r>
        <w:rPr>
          <w:noProof/>
          <w:color w:val="000000" w:themeColor="text1"/>
        </w:rPr>
        <w:lastRenderedPageBreak/>
        <w:drawing>
          <wp:inline distT="0" distB="0" distL="0" distR="0" wp14:anchorId="07A07AF7" wp14:editId="329A0829">
            <wp:extent cx="5242820" cy="422808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282093" cy="4259752"/>
                    </a:xfrm>
                    <a:prstGeom prst="rect">
                      <a:avLst/>
                    </a:prstGeom>
                  </pic:spPr>
                </pic:pic>
              </a:graphicData>
            </a:graphic>
          </wp:inline>
        </w:drawing>
      </w:r>
    </w:p>
    <w:p w14:paraId="72FA21DB" w14:textId="06BE3F79" w:rsidR="00961CF8" w:rsidRPr="000C031F" w:rsidRDefault="001E273D" w:rsidP="00612147">
      <w:pPr>
        <w:pStyle w:val="Caption"/>
        <w:jc w:val="both"/>
        <w:rPr>
          <w:rFonts w:eastAsia="Times New Roman"/>
        </w:rPr>
      </w:pPr>
      <w:r w:rsidRPr="000C031F">
        <w:t xml:space="preserve">Joonis </w:t>
      </w:r>
      <w:fldSimple w:instr=" SEQ Joonis \* ARABIC ">
        <w:r w:rsidR="005571FB">
          <w:rPr>
            <w:noProof/>
          </w:rPr>
          <w:t>2</w:t>
        </w:r>
      </w:fldSimple>
      <w:r w:rsidRPr="000C031F">
        <w:t xml:space="preserve"> Iga-aastase </w:t>
      </w:r>
      <w:r w:rsidR="00641FCA" w:rsidRPr="000C031F">
        <w:t>süsteemi</w:t>
      </w:r>
      <w:r w:rsidR="00641FCA">
        <w:t xml:space="preserve"> võimekus</w:t>
      </w:r>
      <w:r w:rsidR="00641FCA" w:rsidRPr="000C031F">
        <w:t xml:space="preserve">e </w:t>
      </w:r>
      <w:r w:rsidRPr="000C031F">
        <w:t>hinnangu tegevused</w:t>
      </w:r>
    </w:p>
    <w:p w14:paraId="574FB68C" w14:textId="401DFBBA" w:rsidR="003D2C2F" w:rsidRPr="00685433" w:rsidRDefault="003D2C2F" w:rsidP="00612147">
      <w:pPr>
        <w:jc w:val="both"/>
        <w:rPr>
          <w:rFonts w:eastAsia="Times New Roman"/>
        </w:rPr>
      </w:pPr>
      <w:r w:rsidRPr="00685433">
        <w:rPr>
          <w:rFonts w:eastAsia="Times New Roman"/>
        </w:rPr>
        <w:t xml:space="preserve">Vastavalt määrusele väljendatakse varustuskindluse </w:t>
      </w:r>
      <w:r w:rsidR="00D53291">
        <w:rPr>
          <w:rFonts w:eastAsia="Times New Roman"/>
        </w:rPr>
        <w:t>norm</w:t>
      </w:r>
      <w:r w:rsidRPr="00685433">
        <w:rPr>
          <w:rFonts w:eastAsia="Times New Roman"/>
        </w:rPr>
        <w:t xml:space="preserve"> läbi kahe parameetri - katkestustundide arv (Loss of Load Expectation - LOLE) ja andmata jäänud elektrienergia kogus (Expected Energy Not Served - EENS). Parameetrid, mida varustuskindluse </w:t>
      </w:r>
      <w:r w:rsidR="004B1B58">
        <w:rPr>
          <w:rFonts w:eastAsia="Times New Roman"/>
        </w:rPr>
        <w:t>norm</w:t>
      </w:r>
      <w:r w:rsidRPr="00685433">
        <w:rPr>
          <w:rFonts w:eastAsia="Times New Roman"/>
        </w:rPr>
        <w:t>i määramiseks tuleb kasutada on saamata jäänud energia hind (Value of Lost Load - VOLL), ühik [EUR/MWh],  ja tasandatud uue lisandvõimsuse maksumus (Cost Of New Entry - CONE), ühik [EUR/MW]. CONE a</w:t>
      </w:r>
      <w:r>
        <w:rPr>
          <w:rFonts w:eastAsia="Times New Roman"/>
        </w:rPr>
        <w:t>r</w:t>
      </w:r>
      <w:r w:rsidRPr="00685433">
        <w:rPr>
          <w:rFonts w:eastAsia="Times New Roman"/>
        </w:rPr>
        <w:t xml:space="preserve">vutamiseks on vaja määrata </w:t>
      </w:r>
      <w:r w:rsidR="00623DA2">
        <w:rPr>
          <w:rFonts w:eastAsia="Times New Roman"/>
        </w:rPr>
        <w:t>referents</w:t>
      </w:r>
      <w:r w:rsidRPr="00685433">
        <w:rPr>
          <w:rFonts w:eastAsia="Times New Roman"/>
        </w:rPr>
        <w:t>tehnoloogia</w:t>
      </w:r>
      <w:r w:rsidR="00623DA2">
        <w:rPr>
          <w:rFonts w:eastAsia="Times New Roman"/>
        </w:rPr>
        <w:t>d</w:t>
      </w:r>
      <w:r w:rsidRPr="00685433">
        <w:rPr>
          <w:rFonts w:eastAsia="Times New Roman"/>
        </w:rPr>
        <w:t>, mis oleks kõige tõenäolisem</w:t>
      </w:r>
      <w:r w:rsidR="00623DA2">
        <w:rPr>
          <w:rFonts w:eastAsia="Times New Roman"/>
        </w:rPr>
        <w:t>ad</w:t>
      </w:r>
      <w:r w:rsidRPr="00685433">
        <w:rPr>
          <w:rFonts w:eastAsia="Times New Roman"/>
        </w:rPr>
        <w:t xml:space="preserve"> investeerimisotsus</w:t>
      </w:r>
      <w:r w:rsidR="00623DA2">
        <w:rPr>
          <w:rFonts w:eastAsia="Times New Roman"/>
        </w:rPr>
        <w:t>ed</w:t>
      </w:r>
      <w:r w:rsidRPr="00685433">
        <w:rPr>
          <w:rFonts w:eastAsia="Times New Roman"/>
        </w:rPr>
        <w:t xml:space="preserve"> lisavõimsus</w:t>
      </w:r>
      <w:r w:rsidR="00623DA2">
        <w:rPr>
          <w:rFonts w:eastAsia="Times New Roman"/>
        </w:rPr>
        <w:t>t</w:t>
      </w:r>
      <w:r w:rsidRPr="00685433">
        <w:rPr>
          <w:rFonts w:eastAsia="Times New Roman"/>
        </w:rPr>
        <w:t xml:space="preserve">e rajamiseks, eeldusel, et jaam rajatakse konkurentsitingimustele vastav. </w:t>
      </w:r>
    </w:p>
    <w:p w14:paraId="281AFC84" w14:textId="10CB0F54" w:rsidR="003D2C2F" w:rsidRDefault="003D2C2F" w:rsidP="00612147">
      <w:pPr>
        <w:jc w:val="both"/>
        <w:rPr>
          <w:lang w:eastAsia="et-EE"/>
        </w:rPr>
      </w:pPr>
      <w:r w:rsidRPr="00685433">
        <w:rPr>
          <w:rFonts w:eastAsia="Times New Roman"/>
        </w:rPr>
        <w:t xml:space="preserve">Mõned olulisemad </w:t>
      </w:r>
      <w:r w:rsidR="004D3E3F">
        <w:rPr>
          <w:rFonts w:eastAsia="Times New Roman"/>
        </w:rPr>
        <w:t>referents</w:t>
      </w:r>
      <w:r w:rsidRPr="00685433">
        <w:rPr>
          <w:rFonts w:eastAsia="Times New Roman"/>
        </w:rPr>
        <w:t>tehnoloogia nõuded</w:t>
      </w:r>
      <w:r>
        <w:rPr>
          <w:lang w:eastAsia="et-EE"/>
        </w:rPr>
        <w:t>:</w:t>
      </w:r>
    </w:p>
    <w:p w14:paraId="2E561DC2" w14:textId="77777777" w:rsidR="003D2C2F" w:rsidRPr="00685433" w:rsidRDefault="003D2C2F" w:rsidP="00612147">
      <w:pPr>
        <w:pStyle w:val="ListParagraph"/>
        <w:numPr>
          <w:ilvl w:val="0"/>
          <w:numId w:val="32"/>
        </w:numPr>
        <w:spacing w:before="100" w:beforeAutospacing="1" w:after="100" w:afterAutospacing="1" w:line="240" w:lineRule="auto"/>
        <w:jc w:val="both"/>
        <w:rPr>
          <w:rFonts w:eastAsia="Times New Roman"/>
        </w:rPr>
      </w:pPr>
      <w:r w:rsidRPr="00685433">
        <w:rPr>
          <w:rFonts w:eastAsia="Times New Roman"/>
        </w:rPr>
        <w:t xml:space="preserve">Ei tohi olla subsideeritud ega olla riigi poolt toetatav ühelgi moel. </w:t>
      </w:r>
    </w:p>
    <w:p w14:paraId="38C07218" w14:textId="77777777" w:rsidR="003D2C2F" w:rsidRPr="00685433" w:rsidRDefault="003D2C2F" w:rsidP="00612147">
      <w:pPr>
        <w:pStyle w:val="ListParagraph"/>
        <w:numPr>
          <w:ilvl w:val="0"/>
          <w:numId w:val="32"/>
        </w:numPr>
        <w:spacing w:before="100" w:beforeAutospacing="1" w:after="100" w:afterAutospacing="1" w:line="240" w:lineRule="auto"/>
        <w:jc w:val="both"/>
        <w:rPr>
          <w:rFonts w:eastAsia="Times New Roman"/>
        </w:rPr>
      </w:pPr>
      <w:r w:rsidRPr="00685433">
        <w:rPr>
          <w:rFonts w:eastAsia="Times New Roman"/>
        </w:rPr>
        <w:t>Peab olema standardne lahendus, mis tähendab, et erinevatel projektiarendustel ei tohiks olla suuri tehnilisi ega majanduslikke erinevusi rajamise asukoha suhtes. Tootmisviis on töökindel ning selle kohta on teada püsi- ja muutuvkulud. Tehnoloogia efektiivsus ja kasumlikkus ei tohiks olla sõltuv üksuse võimsusest, peab olema lihtsasti skaleeritav.</w:t>
      </w:r>
    </w:p>
    <w:p w14:paraId="49E5DBA9" w14:textId="77777777" w:rsidR="003D2C2F" w:rsidRPr="00685433" w:rsidRDefault="003D2C2F" w:rsidP="00612147">
      <w:pPr>
        <w:pStyle w:val="ListParagraph"/>
        <w:numPr>
          <w:ilvl w:val="0"/>
          <w:numId w:val="32"/>
        </w:numPr>
        <w:spacing w:before="100" w:beforeAutospacing="1" w:after="100" w:afterAutospacing="1" w:line="240" w:lineRule="auto"/>
        <w:jc w:val="both"/>
        <w:rPr>
          <w:rFonts w:eastAsia="Times New Roman"/>
        </w:rPr>
      </w:pPr>
      <w:r w:rsidRPr="00685433">
        <w:rPr>
          <w:rFonts w:eastAsia="Times New Roman"/>
        </w:rPr>
        <w:t xml:space="preserve">Tootmistehnoloogia on potentsiaalne uus lisavõimsus, ehk selle tehnoloogia lisamisega ei minda vastuollu kliima-eesmärkide saavutamiseks tehtud otsustega. </w:t>
      </w:r>
    </w:p>
    <w:p w14:paraId="1228AD2D" w14:textId="7748040D" w:rsidR="003D2C2F" w:rsidRPr="00685433" w:rsidRDefault="003D2C2F" w:rsidP="00612147">
      <w:pPr>
        <w:jc w:val="both"/>
        <w:rPr>
          <w:rFonts w:eastAsia="Times New Roman"/>
        </w:rPr>
      </w:pPr>
      <w:r w:rsidRPr="00685433">
        <w:rPr>
          <w:rFonts w:eastAsia="Times New Roman"/>
        </w:rPr>
        <w:t>VOLL leidmiseks on vaja määrata hinnad, mida erinevad sektorid (tööstus-, teenindav- ja erasektor) peavad enda saamata jäänud elektrienergia väärtuseks.</w:t>
      </w:r>
      <w:r w:rsidR="004D3E3F">
        <w:rPr>
          <w:rFonts w:eastAsia="Times New Roman"/>
        </w:rPr>
        <w:t xml:space="preserve"> Eestis on selleks väärtuseks määratud 7287€/MWh</w:t>
      </w:r>
      <w:r w:rsidR="004D3E3F">
        <w:rPr>
          <w:rStyle w:val="FootnoteReference"/>
          <w:rFonts w:eastAsia="Times New Roman"/>
        </w:rPr>
        <w:footnoteReference w:id="6"/>
      </w:r>
      <w:r w:rsidR="004D3E3F">
        <w:rPr>
          <w:rFonts w:eastAsia="Times New Roman"/>
        </w:rPr>
        <w:t>.</w:t>
      </w:r>
      <w:r w:rsidRPr="00685433">
        <w:rPr>
          <w:rFonts w:eastAsia="Times New Roman"/>
        </w:rPr>
        <w:t xml:space="preserve"> Saamata jäänud elektrienergia väärtust või</w:t>
      </w:r>
      <w:r w:rsidR="00B5534C">
        <w:rPr>
          <w:rFonts w:eastAsia="Times New Roman"/>
        </w:rPr>
        <w:t>b</w:t>
      </w:r>
      <w:r w:rsidRPr="00685433">
        <w:rPr>
          <w:rFonts w:eastAsia="Times New Roman"/>
        </w:rPr>
        <w:t xml:space="preserve"> </w:t>
      </w:r>
      <w:r w:rsidR="00B5534C">
        <w:rPr>
          <w:rFonts w:eastAsia="Times New Roman"/>
        </w:rPr>
        <w:t xml:space="preserve">ka </w:t>
      </w:r>
      <w:r w:rsidRPr="00685433">
        <w:rPr>
          <w:rFonts w:eastAsia="Times New Roman"/>
        </w:rPr>
        <w:t xml:space="preserve">tõlgendada kui kahju, mis tekib ühe </w:t>
      </w:r>
      <w:r w:rsidRPr="00685433">
        <w:rPr>
          <w:rFonts w:eastAsia="Times New Roman"/>
        </w:rPr>
        <w:lastRenderedPageBreak/>
        <w:t xml:space="preserve">MWh elektrienergia andmata jäämisest või maksimaalset hinda, mida tarbijad oleksid valmis maksma MWh eest, et katkestust ära hoida. </w:t>
      </w:r>
    </w:p>
    <w:p w14:paraId="7A264FA5" w14:textId="77777777" w:rsidR="00B5534C" w:rsidRDefault="003D2C2F" w:rsidP="00612147">
      <w:pPr>
        <w:jc w:val="both"/>
        <w:rPr>
          <w:rFonts w:eastAsia="Times New Roman"/>
        </w:rPr>
      </w:pPr>
      <w:r w:rsidRPr="00685433">
        <w:rPr>
          <w:rFonts w:eastAsia="Times New Roman"/>
        </w:rPr>
        <w:t>CONE ja VOLL väärtuste kaudu on võimalik määrata sotsiaalmajanduslikult optimaalne katkestustundide arv vastavalt all olevale valemile</w:t>
      </w:r>
      <w:r>
        <w:rPr>
          <w:rFonts w:eastAsia="Times New Roman"/>
        </w:rPr>
        <w:t>:</w:t>
      </w:r>
    </w:p>
    <w:p w14:paraId="3D885577" w14:textId="5D0DEC12" w:rsidR="003D2C2F" w:rsidRDefault="003D2C2F" w:rsidP="00612147">
      <w:pPr>
        <w:jc w:val="both"/>
        <w:rPr>
          <w:rFonts w:eastAsia="Times New Roman"/>
        </w:rPr>
      </w:pPr>
      <w:r>
        <w:rPr>
          <w:rFonts w:eastAsia="Times New Roman"/>
        </w:rPr>
        <w:t xml:space="preserve"> </w:t>
      </w:r>
      <w:r w:rsidR="00B5534C" w:rsidRPr="00FB00C7">
        <w:rPr>
          <w:rFonts w:eastAsia="Times New Roman"/>
          <w:noProof/>
        </w:rPr>
        <mc:AlternateContent>
          <mc:Choice Requires="wps">
            <w:drawing>
              <wp:inline distT="0" distB="0" distL="0" distR="0" wp14:anchorId="58F35705" wp14:editId="0A5E41C5">
                <wp:extent cx="4651375" cy="548640"/>
                <wp:effectExtent l="0" t="0" r="0" b="0"/>
                <wp:docPr id="4" name="Rectangle 1"/>
                <wp:cNvGraphicFramePr/>
                <a:graphic xmlns:a="http://schemas.openxmlformats.org/drawingml/2006/main">
                  <a:graphicData uri="http://schemas.microsoft.com/office/word/2010/wordprocessingShape">
                    <wps:wsp>
                      <wps:cNvSpPr/>
                      <wps:spPr>
                        <a:xfrm>
                          <a:off x="0" y="0"/>
                          <a:ext cx="4651375" cy="548640"/>
                        </a:xfrm>
                        <a:prstGeom prst="rect">
                          <a:avLst/>
                        </a:prstGeom>
                      </wps:spPr>
                      <wps:txbx>
                        <w:txbxContent>
                          <w:p w14:paraId="73D410F7" w14:textId="77777777" w:rsidR="004D6392" w:rsidRDefault="004D6392" w:rsidP="00B5534C">
                            <w:pPr>
                              <w:rPr>
                                <w:sz w:val="24"/>
                                <w:szCs w:val="24"/>
                              </w:rPr>
                            </w:pPr>
                            <m:oMathPara>
                              <m:oMathParaPr>
                                <m:jc m:val="centerGroup"/>
                              </m:oMathParaPr>
                              <m:oMath>
                                <m:sSub>
                                  <m:sSubPr>
                                    <m:ctrlPr>
                                      <w:rPr>
                                        <w:rFonts w:ascii="Cambria Math" w:eastAsiaTheme="minorEastAsia" w:hAnsi="Cambria Math"/>
                                        <w:i/>
                                        <w:iCs/>
                                        <w:color w:val="000000" w:themeColor="text1"/>
                                        <w:kern w:val="24"/>
                                        <w:sz w:val="28"/>
                                        <w:szCs w:val="28"/>
                                        <w:lang w:val="en-GB"/>
                                      </w:rPr>
                                    </m:ctrlPr>
                                  </m:sSubPr>
                                  <m:e>
                                    <m:r>
                                      <w:rPr>
                                        <w:rFonts w:ascii="Cambria Math" w:hAnsi="Cambria Math"/>
                                        <w:color w:val="000000" w:themeColor="text1"/>
                                        <w:kern w:val="24"/>
                                        <w:sz w:val="28"/>
                                        <w:szCs w:val="28"/>
                                        <w:lang w:val="en-GB"/>
                                      </w:rPr>
                                      <m:t>LOLE</m:t>
                                    </m:r>
                                  </m:e>
                                  <m:sub>
                                    <m:r>
                                      <w:rPr>
                                        <w:rFonts w:ascii="Cambria Math" w:hAnsi="Cambria Math"/>
                                        <w:color w:val="000000" w:themeColor="text1"/>
                                        <w:kern w:val="24"/>
                                        <w:sz w:val="28"/>
                                        <w:szCs w:val="28"/>
                                        <w:lang w:val="en-GB"/>
                                      </w:rPr>
                                      <m:t>norm</m:t>
                                    </m:r>
                                  </m:sub>
                                </m:sSub>
                                <m:r>
                                  <m:rPr>
                                    <m:sty m:val="p"/>
                                  </m:rPr>
                                  <w:rPr>
                                    <w:rFonts w:ascii="Cambria Math" w:hAnsi="Cambria Math"/>
                                    <w:color w:val="000000" w:themeColor="text1"/>
                                    <w:kern w:val="24"/>
                                    <w:sz w:val="28"/>
                                    <w:szCs w:val="28"/>
                                    <w:lang w:val="en-GB"/>
                                  </w:rPr>
                                  <m:t> (h)=</m:t>
                                </m:r>
                                <m:f>
                                  <m:fPr>
                                    <m:ctrlPr>
                                      <w:rPr>
                                        <w:rFonts w:ascii="Cambria Math" w:eastAsiaTheme="minorEastAsia" w:hAnsi="Cambria Math"/>
                                        <w:i/>
                                        <w:iCs/>
                                        <w:color w:val="000000" w:themeColor="text1"/>
                                        <w:kern w:val="24"/>
                                        <w:sz w:val="28"/>
                                        <w:szCs w:val="28"/>
                                        <w:lang w:val="en-GB"/>
                                      </w:rPr>
                                    </m:ctrlPr>
                                  </m:fPr>
                                  <m:num>
                                    <m:d>
                                      <m:dPr>
                                        <m:begChr m:val=""/>
                                        <m:ctrlPr>
                                          <w:rPr>
                                            <w:rFonts w:ascii="Cambria Math" w:eastAsiaTheme="minorEastAsia" w:hAnsi="Cambria Math"/>
                                            <w:i/>
                                            <w:iCs/>
                                            <w:color w:val="000000" w:themeColor="text1"/>
                                            <w:kern w:val="24"/>
                                            <w:sz w:val="28"/>
                                            <w:szCs w:val="28"/>
                                            <w:lang w:val="en-GB"/>
                                          </w:rPr>
                                        </m:ctrlPr>
                                      </m:dPr>
                                      <m:e>
                                        <m:r>
                                          <w:rPr>
                                            <w:rFonts w:ascii="Cambria Math" w:hAnsi="Cambria Math"/>
                                            <w:color w:val="000000" w:themeColor="text1"/>
                                            <w:kern w:val="24"/>
                                            <w:sz w:val="28"/>
                                            <w:szCs w:val="28"/>
                                            <w:lang w:val="en-GB"/>
                                          </w:rPr>
                                          <m:t>CONE</m:t>
                                        </m:r>
                                        <m:r>
                                          <m:rPr>
                                            <m:sty m:val="p"/>
                                          </m:rPr>
                                          <w:rPr>
                                            <w:rFonts w:ascii="Cambria Math" w:hAnsi="Cambria Math"/>
                                            <w:color w:val="000000" w:themeColor="text1"/>
                                            <w:kern w:val="24"/>
                                            <w:sz w:val="28"/>
                                            <w:szCs w:val="28"/>
                                            <w:lang w:val="en-GB"/>
                                          </w:rPr>
                                          <m:t> (</m:t>
                                        </m:r>
                                        <m:r>
                                          <w:rPr>
                                            <w:rFonts w:ascii="Cambria Math" w:hAnsi="Cambria Math"/>
                                            <w:color w:val="000000" w:themeColor="text1"/>
                                            <w:kern w:val="24"/>
                                            <w:sz w:val="28"/>
                                            <w:szCs w:val="28"/>
                                            <w:lang w:val="en-GB"/>
                                          </w:rPr>
                                          <m:t>€/MW</m:t>
                                        </m:r>
                                      </m:e>
                                    </m:d>
                                  </m:num>
                                  <m:den>
                                    <m:d>
                                      <m:dPr>
                                        <m:begChr m:val=""/>
                                        <m:ctrlPr>
                                          <w:rPr>
                                            <w:rFonts w:ascii="Cambria Math" w:eastAsiaTheme="minorEastAsia" w:hAnsi="Cambria Math"/>
                                            <w:i/>
                                            <w:iCs/>
                                            <w:color w:val="000000" w:themeColor="text1"/>
                                            <w:kern w:val="24"/>
                                            <w:sz w:val="28"/>
                                            <w:szCs w:val="28"/>
                                            <w:lang w:val="en-GB"/>
                                          </w:rPr>
                                        </m:ctrlPr>
                                      </m:dPr>
                                      <m:e>
                                        <m:r>
                                          <w:rPr>
                                            <w:rFonts w:ascii="Cambria Math" w:hAnsi="Cambria Math"/>
                                            <w:color w:val="000000" w:themeColor="text1"/>
                                            <w:kern w:val="24"/>
                                            <w:sz w:val="28"/>
                                            <w:szCs w:val="28"/>
                                            <w:lang w:val="en-GB"/>
                                          </w:rPr>
                                          <m:t>VOLL</m:t>
                                        </m:r>
                                        <m:r>
                                          <m:rPr>
                                            <m:sty m:val="p"/>
                                          </m:rPr>
                                          <w:rPr>
                                            <w:rFonts w:ascii="Cambria Math" w:hAnsi="Cambria Math"/>
                                            <w:color w:val="000000" w:themeColor="text1"/>
                                            <w:kern w:val="24"/>
                                            <w:sz w:val="28"/>
                                            <w:szCs w:val="28"/>
                                            <w:lang w:val="en-GB"/>
                                          </w:rPr>
                                          <m:t> (</m:t>
                                        </m:r>
                                        <m:f>
                                          <m:fPr>
                                            <m:type m:val="lin"/>
                                            <m:ctrlPr>
                                              <w:rPr>
                                                <w:rFonts w:ascii="Cambria Math" w:eastAsiaTheme="minorEastAsia" w:hAnsi="Cambria Math"/>
                                                <w:i/>
                                                <w:iCs/>
                                                <w:color w:val="000000" w:themeColor="text1"/>
                                                <w:kern w:val="24"/>
                                                <w:sz w:val="28"/>
                                                <w:szCs w:val="28"/>
                                                <w:lang w:val="en-GB"/>
                                              </w:rPr>
                                            </m:ctrlPr>
                                          </m:fPr>
                                          <m:num>
                                            <m:r>
                                              <w:rPr>
                                                <w:rFonts w:ascii="Cambria Math" w:hAnsi="Cambria Math"/>
                                                <w:color w:val="000000" w:themeColor="text1"/>
                                                <w:kern w:val="24"/>
                                                <w:sz w:val="28"/>
                                                <w:szCs w:val="28"/>
                                                <w:lang w:val="en-GB"/>
                                              </w:rPr>
                                              <m:t>€</m:t>
                                            </m:r>
                                          </m:num>
                                          <m:den>
                                            <m:r>
                                              <w:rPr>
                                                <w:rFonts w:ascii="Cambria Math" w:hAnsi="Cambria Math"/>
                                                <w:color w:val="000000" w:themeColor="text1"/>
                                                <w:kern w:val="24"/>
                                                <w:sz w:val="28"/>
                                                <w:szCs w:val="28"/>
                                                <w:lang w:val="en-GB"/>
                                              </w:rPr>
                                              <m:t>M</m:t>
                                            </m:r>
                                          </m:den>
                                        </m:f>
                                        <m:r>
                                          <w:rPr>
                                            <w:rFonts w:ascii="Cambria Math" w:hAnsi="Cambria Math"/>
                                            <w:color w:val="000000" w:themeColor="text1"/>
                                            <w:kern w:val="24"/>
                                            <w:sz w:val="28"/>
                                            <w:szCs w:val="28"/>
                                            <w:lang w:val="en-GB"/>
                                          </w:rPr>
                                          <m:t>Wh</m:t>
                                        </m:r>
                                      </m:e>
                                    </m:d>
                                  </m:den>
                                </m:f>
                              </m:oMath>
                            </m:oMathPara>
                          </w:p>
                        </w:txbxContent>
                      </wps:txbx>
                      <wps:bodyPr wrap="none">
                        <a:spAutoFit/>
                      </wps:bodyPr>
                    </wps:wsp>
                  </a:graphicData>
                </a:graphic>
              </wp:inline>
            </w:drawing>
          </mc:Choice>
          <mc:Fallback>
            <w:pict>
              <v:rect w14:anchorId="58F35705" id="Rectangle 1" o:spid="_x0000_s1026" style="width:366.25pt;height:43.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" filled="f" stroked="f">
                <v:textbox style="mso-fit-shape-to-text:t">
                  <w:txbxContent>
                    <w:p w14:paraId="73D410F7" w14:textId="77777777" w:rsidR="004D6392" w:rsidRDefault="004D6392" w:rsidP="00B5534C">
                      <w:pPr>
                        <w:rPr>
                          <w:sz w:val="24"/>
                          <w:szCs w:val="24"/>
                        </w:rPr>
                      </w:pPr>
                      <m:oMathPara>
                        <m:oMathParaPr>
                          <m:jc m:val="centerGroup"/>
                        </m:oMathParaPr>
                        <m:oMath>
                          <m:sSub>
                            <m:sSubPr>
                              <m:ctrlPr>
                                <w:rPr>
                                  <w:rFonts w:ascii="Cambria Math" w:eastAsiaTheme="minorEastAsia" w:hAnsi="Cambria Math"/>
                                  <w:i/>
                                  <w:iCs/>
                                  <w:color w:val="000000" w:themeColor="text1"/>
                                  <w:kern w:val="24"/>
                                  <w:sz w:val="28"/>
                                  <w:szCs w:val="28"/>
                                  <w:lang w:val="en-GB"/>
                                </w:rPr>
                              </m:ctrlPr>
                            </m:sSubPr>
                            <m:e>
                              <m:r>
                                <w:rPr>
                                  <w:rFonts w:ascii="Cambria Math" w:hAnsi="Cambria Math"/>
                                  <w:color w:val="000000" w:themeColor="text1"/>
                                  <w:kern w:val="24"/>
                                  <w:sz w:val="28"/>
                                  <w:szCs w:val="28"/>
                                  <w:lang w:val="en-GB"/>
                                </w:rPr>
                                <m:t>LOLE</m:t>
                              </m:r>
                            </m:e>
                            <m:sub>
                              <m:r>
                                <w:rPr>
                                  <w:rFonts w:ascii="Cambria Math" w:hAnsi="Cambria Math"/>
                                  <w:color w:val="000000" w:themeColor="text1"/>
                                  <w:kern w:val="24"/>
                                  <w:sz w:val="28"/>
                                  <w:szCs w:val="28"/>
                                  <w:lang w:val="en-GB"/>
                                </w:rPr>
                                <m:t>norm</m:t>
                              </m:r>
                            </m:sub>
                          </m:sSub>
                          <m:r>
                            <m:rPr>
                              <m:sty m:val="p"/>
                            </m:rPr>
                            <w:rPr>
                              <w:rFonts w:ascii="Cambria Math" w:hAnsi="Cambria Math"/>
                              <w:color w:val="000000" w:themeColor="text1"/>
                              <w:kern w:val="24"/>
                              <w:sz w:val="28"/>
                              <w:szCs w:val="28"/>
                              <w:lang w:val="en-GB"/>
                            </w:rPr>
                            <m:t> (h)=</m:t>
                          </m:r>
                          <m:f>
                            <m:fPr>
                              <m:ctrlPr>
                                <w:rPr>
                                  <w:rFonts w:ascii="Cambria Math" w:eastAsiaTheme="minorEastAsia" w:hAnsi="Cambria Math"/>
                                  <w:i/>
                                  <w:iCs/>
                                  <w:color w:val="000000" w:themeColor="text1"/>
                                  <w:kern w:val="24"/>
                                  <w:sz w:val="28"/>
                                  <w:szCs w:val="28"/>
                                  <w:lang w:val="en-GB"/>
                                </w:rPr>
                              </m:ctrlPr>
                            </m:fPr>
                            <m:num>
                              <m:d>
                                <m:dPr>
                                  <m:begChr m:val=""/>
                                  <m:ctrlPr>
                                    <w:rPr>
                                      <w:rFonts w:ascii="Cambria Math" w:eastAsiaTheme="minorEastAsia" w:hAnsi="Cambria Math"/>
                                      <w:i/>
                                      <w:iCs/>
                                      <w:color w:val="000000" w:themeColor="text1"/>
                                      <w:kern w:val="24"/>
                                      <w:sz w:val="28"/>
                                      <w:szCs w:val="28"/>
                                      <w:lang w:val="en-GB"/>
                                    </w:rPr>
                                  </m:ctrlPr>
                                </m:dPr>
                                <m:e>
                                  <m:r>
                                    <w:rPr>
                                      <w:rFonts w:ascii="Cambria Math" w:hAnsi="Cambria Math"/>
                                      <w:color w:val="000000" w:themeColor="text1"/>
                                      <w:kern w:val="24"/>
                                      <w:sz w:val="28"/>
                                      <w:szCs w:val="28"/>
                                      <w:lang w:val="en-GB"/>
                                    </w:rPr>
                                    <m:t>CONE</m:t>
                                  </m:r>
                                  <m:r>
                                    <m:rPr>
                                      <m:sty m:val="p"/>
                                    </m:rPr>
                                    <w:rPr>
                                      <w:rFonts w:ascii="Cambria Math" w:hAnsi="Cambria Math"/>
                                      <w:color w:val="000000" w:themeColor="text1"/>
                                      <w:kern w:val="24"/>
                                      <w:sz w:val="28"/>
                                      <w:szCs w:val="28"/>
                                      <w:lang w:val="en-GB"/>
                                    </w:rPr>
                                    <m:t> (</m:t>
                                  </m:r>
                                  <m:r>
                                    <w:rPr>
                                      <w:rFonts w:ascii="Cambria Math" w:hAnsi="Cambria Math"/>
                                      <w:color w:val="000000" w:themeColor="text1"/>
                                      <w:kern w:val="24"/>
                                      <w:sz w:val="28"/>
                                      <w:szCs w:val="28"/>
                                      <w:lang w:val="en-GB"/>
                                    </w:rPr>
                                    <m:t>€/MW</m:t>
                                  </m:r>
                                </m:e>
                              </m:d>
                            </m:num>
                            <m:den>
                              <m:d>
                                <m:dPr>
                                  <m:begChr m:val=""/>
                                  <m:ctrlPr>
                                    <w:rPr>
                                      <w:rFonts w:ascii="Cambria Math" w:eastAsiaTheme="minorEastAsia" w:hAnsi="Cambria Math"/>
                                      <w:i/>
                                      <w:iCs/>
                                      <w:color w:val="000000" w:themeColor="text1"/>
                                      <w:kern w:val="24"/>
                                      <w:sz w:val="28"/>
                                      <w:szCs w:val="28"/>
                                      <w:lang w:val="en-GB"/>
                                    </w:rPr>
                                  </m:ctrlPr>
                                </m:dPr>
                                <m:e>
                                  <m:r>
                                    <w:rPr>
                                      <w:rFonts w:ascii="Cambria Math" w:hAnsi="Cambria Math"/>
                                      <w:color w:val="000000" w:themeColor="text1"/>
                                      <w:kern w:val="24"/>
                                      <w:sz w:val="28"/>
                                      <w:szCs w:val="28"/>
                                      <w:lang w:val="en-GB"/>
                                    </w:rPr>
                                    <m:t>VOLL</m:t>
                                  </m:r>
                                  <m:r>
                                    <m:rPr>
                                      <m:sty m:val="p"/>
                                    </m:rPr>
                                    <w:rPr>
                                      <w:rFonts w:ascii="Cambria Math" w:hAnsi="Cambria Math"/>
                                      <w:color w:val="000000" w:themeColor="text1"/>
                                      <w:kern w:val="24"/>
                                      <w:sz w:val="28"/>
                                      <w:szCs w:val="28"/>
                                      <w:lang w:val="en-GB"/>
                                    </w:rPr>
                                    <m:t> (</m:t>
                                  </m:r>
                                  <m:f>
                                    <m:fPr>
                                      <m:type m:val="lin"/>
                                      <m:ctrlPr>
                                        <w:rPr>
                                          <w:rFonts w:ascii="Cambria Math" w:eastAsiaTheme="minorEastAsia" w:hAnsi="Cambria Math"/>
                                          <w:i/>
                                          <w:iCs/>
                                          <w:color w:val="000000" w:themeColor="text1"/>
                                          <w:kern w:val="24"/>
                                          <w:sz w:val="28"/>
                                          <w:szCs w:val="28"/>
                                          <w:lang w:val="en-GB"/>
                                        </w:rPr>
                                      </m:ctrlPr>
                                    </m:fPr>
                                    <m:num>
                                      <m:r>
                                        <w:rPr>
                                          <w:rFonts w:ascii="Cambria Math" w:hAnsi="Cambria Math"/>
                                          <w:color w:val="000000" w:themeColor="text1"/>
                                          <w:kern w:val="24"/>
                                          <w:sz w:val="28"/>
                                          <w:szCs w:val="28"/>
                                          <w:lang w:val="en-GB"/>
                                        </w:rPr>
                                        <m:t>€</m:t>
                                      </m:r>
                                    </m:num>
                                    <m:den>
                                      <m:r>
                                        <w:rPr>
                                          <w:rFonts w:ascii="Cambria Math" w:hAnsi="Cambria Math"/>
                                          <w:color w:val="000000" w:themeColor="text1"/>
                                          <w:kern w:val="24"/>
                                          <w:sz w:val="28"/>
                                          <w:szCs w:val="28"/>
                                          <w:lang w:val="en-GB"/>
                                        </w:rPr>
                                        <m:t>M</m:t>
                                      </m:r>
                                    </m:den>
                                  </m:f>
                                  <m:r>
                                    <w:rPr>
                                      <w:rFonts w:ascii="Cambria Math" w:hAnsi="Cambria Math"/>
                                      <w:color w:val="000000" w:themeColor="text1"/>
                                      <w:kern w:val="24"/>
                                      <w:sz w:val="28"/>
                                      <w:szCs w:val="28"/>
                                      <w:lang w:val="en-GB"/>
                                    </w:rPr>
                                    <m:t>Wh</m:t>
                                  </m:r>
                                </m:e>
                              </m:d>
                            </m:den>
                          </m:f>
                        </m:oMath>
                      </m:oMathPara>
                    </w:p>
                  </w:txbxContent>
                </v:textbox>
                <w10:anchorlock/>
              </v:rect>
            </w:pict>
          </mc:Fallback>
        </mc:AlternateContent>
      </w:r>
    </w:p>
    <w:p w14:paraId="5BB4BC1A" w14:textId="4AE5D714" w:rsidR="00B5534C" w:rsidRDefault="00B5534C" w:rsidP="00612147">
      <w:pPr>
        <w:jc w:val="both"/>
        <w:rPr>
          <w:rFonts w:eastAsia="Times New Roman"/>
        </w:rPr>
      </w:pPr>
      <w:r w:rsidRPr="00BD2EC6">
        <w:rPr>
          <w:rFonts w:eastAsia="Times New Roman"/>
        </w:rPr>
        <w:t xml:space="preserve">Eestis on </w:t>
      </w:r>
      <w:r>
        <w:rPr>
          <w:rFonts w:eastAsia="Times New Roman"/>
        </w:rPr>
        <w:t xml:space="preserve">kehtestatud </w:t>
      </w:r>
      <w:r w:rsidRPr="00BD2EC6">
        <w:rPr>
          <w:rFonts w:eastAsia="Times New Roman"/>
        </w:rPr>
        <w:t>optimaalne varustu</w:t>
      </w:r>
      <w:r>
        <w:rPr>
          <w:rFonts w:eastAsia="Times New Roman"/>
        </w:rPr>
        <w:t>s</w:t>
      </w:r>
      <w:r w:rsidRPr="00BD2EC6">
        <w:rPr>
          <w:rFonts w:eastAsia="Times New Roman"/>
        </w:rPr>
        <w:t xml:space="preserve">kindluse tase piirangutundidele </w:t>
      </w:r>
      <w:r>
        <w:rPr>
          <w:rFonts w:eastAsia="Times New Roman"/>
        </w:rPr>
        <w:t xml:space="preserve">(LOLE) </w:t>
      </w:r>
      <w:r w:rsidRPr="00BD2EC6">
        <w:rPr>
          <w:rFonts w:eastAsia="Times New Roman"/>
        </w:rPr>
        <w:t>keskmiselt 9 tundi aastas</w:t>
      </w:r>
      <w:r>
        <w:rPr>
          <w:rStyle w:val="FootnoteReference"/>
          <w:rFonts w:eastAsia="Times New Roman"/>
        </w:rPr>
        <w:footnoteReference w:id="7"/>
      </w:r>
      <w:r w:rsidR="004D3E3F">
        <w:rPr>
          <w:rFonts w:eastAsia="Times New Roman"/>
        </w:rPr>
        <w:t xml:space="preserve"> ja andmata jäänud energiale 4,5 GWh aastas</w:t>
      </w:r>
      <w:r w:rsidR="004D3E3F">
        <w:rPr>
          <w:rStyle w:val="FootnoteReference"/>
          <w:rFonts w:eastAsia="Times New Roman"/>
        </w:rPr>
        <w:footnoteReference w:id="8"/>
      </w:r>
      <w:r w:rsidRPr="00BD2EC6">
        <w:rPr>
          <w:rFonts w:eastAsia="Times New Roman"/>
        </w:rPr>
        <w:t>. See tähendab, et sotsiaalmajanduslikult on parem lasta tekkida mõned tunnid, kus tarbimist ei suudeta päev-ette turu</w:t>
      </w:r>
      <w:r>
        <w:rPr>
          <w:rFonts w:eastAsia="Times New Roman"/>
        </w:rPr>
        <w:t xml:space="preserve"> </w:t>
      </w:r>
      <w:r w:rsidRPr="00BD2EC6">
        <w:rPr>
          <w:rFonts w:eastAsia="Times New Roman"/>
        </w:rPr>
        <w:t xml:space="preserve">põhiselt katta, kui nende üksikute tundide jaoks ehitada lisa tootmisvõimsust. Kui neid tunde on rohkem kui 9, siis on kahju ühiskonnale suurem, kui uue elektrijaama ehitamine ning siis on </w:t>
      </w:r>
      <w:r>
        <w:rPr>
          <w:rFonts w:eastAsia="Times New Roman"/>
        </w:rPr>
        <w:t>võimsuste lisamine</w:t>
      </w:r>
      <w:r w:rsidRPr="00BD2EC6">
        <w:rPr>
          <w:rFonts w:eastAsia="Times New Roman"/>
        </w:rPr>
        <w:t xml:space="preserve"> sotsiaalmajanduslikult põhjendatud. Iga-aastased </w:t>
      </w:r>
      <w:r w:rsidR="00641FCA" w:rsidRPr="00BD2EC6">
        <w:rPr>
          <w:rFonts w:eastAsia="Times New Roman"/>
        </w:rPr>
        <w:t>süsteemi</w:t>
      </w:r>
      <w:r w:rsidR="00641FCA">
        <w:rPr>
          <w:rFonts w:eastAsia="Times New Roman"/>
        </w:rPr>
        <w:t xml:space="preserve"> võimekuse</w:t>
      </w:r>
      <w:r w:rsidR="00641FCA" w:rsidRPr="00BD2EC6">
        <w:rPr>
          <w:rFonts w:eastAsia="Times New Roman"/>
        </w:rPr>
        <w:t xml:space="preserve"> </w:t>
      </w:r>
      <w:r w:rsidRPr="00BD2EC6">
        <w:rPr>
          <w:rFonts w:eastAsia="Times New Roman"/>
        </w:rPr>
        <w:t>hinna</w:t>
      </w:r>
      <w:r>
        <w:rPr>
          <w:rFonts w:eastAsia="Times New Roman"/>
        </w:rPr>
        <w:t>n</w:t>
      </w:r>
      <w:r w:rsidRPr="00BD2EC6">
        <w:rPr>
          <w:rFonts w:eastAsia="Times New Roman"/>
        </w:rPr>
        <w:t xml:space="preserve">gu tulemused ja erinevad stsenaariumid hinnatakse vastu </w:t>
      </w:r>
      <w:r>
        <w:rPr>
          <w:rFonts w:eastAsia="Times New Roman"/>
        </w:rPr>
        <w:t>mainitud normi</w:t>
      </w:r>
      <w:r w:rsidRPr="00BD2EC6">
        <w:rPr>
          <w:rFonts w:eastAsia="Times New Roman"/>
        </w:rPr>
        <w:t xml:space="preserve">. </w:t>
      </w:r>
    </w:p>
    <w:p w14:paraId="32437FF6" w14:textId="064D29AC" w:rsidR="003D2C2F" w:rsidRPr="00685433" w:rsidRDefault="003D2C2F" w:rsidP="00612147">
      <w:pPr>
        <w:jc w:val="both"/>
        <w:rPr>
          <w:rFonts w:eastAsia="Times New Roman"/>
        </w:rPr>
      </w:pPr>
      <w:r>
        <w:rPr>
          <w:rFonts w:eastAsia="Times New Roman"/>
        </w:rPr>
        <w:t xml:space="preserve">Kui kalduda optimaalsest üheksast tunnist eemale, kannab ühiskond suuremaid kulusid. </w:t>
      </w:r>
      <w:r>
        <w:rPr>
          <w:rFonts w:eastAsia="Times New Roman"/>
        </w:rPr>
        <w:fldChar w:fldCharType="begin"/>
      </w:r>
      <w:r>
        <w:rPr>
          <w:rFonts w:eastAsia="Times New Roman"/>
        </w:rPr>
        <w:instrText xml:space="preserve"> REF _Ref73027401 \h </w:instrText>
      </w:r>
      <w:r w:rsidR="00612147">
        <w:rPr>
          <w:rFonts w:eastAsia="Times New Roman"/>
        </w:rPr>
        <w:instrText xml:space="preserve"> \* MERGEFORMAT </w:instrText>
      </w:r>
      <w:r>
        <w:rPr>
          <w:rFonts w:eastAsia="Times New Roman"/>
        </w:rPr>
      </w:r>
      <w:r>
        <w:rPr>
          <w:rFonts w:eastAsia="Times New Roman"/>
        </w:rPr>
        <w:fldChar w:fldCharType="separate"/>
      </w:r>
      <w:r w:rsidR="001E273D">
        <w:t xml:space="preserve">Joonis </w:t>
      </w:r>
      <w:r w:rsidR="001E273D">
        <w:rPr>
          <w:i/>
          <w:iCs/>
          <w:noProof/>
        </w:rPr>
        <w:t>3</w:t>
      </w:r>
      <w:r>
        <w:rPr>
          <w:rFonts w:eastAsia="Times New Roman"/>
        </w:rPr>
        <w:fldChar w:fldCharType="end"/>
      </w:r>
      <w:r>
        <w:rPr>
          <w:rFonts w:eastAsia="Times New Roman"/>
        </w:rPr>
        <w:t xml:space="preserve"> näitab </w:t>
      </w:r>
      <w:r w:rsidR="005010D6">
        <w:rPr>
          <w:rFonts w:eastAsia="Times New Roman"/>
        </w:rPr>
        <w:t xml:space="preserve">millisel määral </w:t>
      </w:r>
      <w:r>
        <w:rPr>
          <w:rFonts w:eastAsia="Times New Roman"/>
        </w:rPr>
        <w:t>kulud</w:t>
      </w:r>
      <w:r w:rsidR="005010D6">
        <w:rPr>
          <w:rFonts w:eastAsia="Times New Roman"/>
        </w:rPr>
        <w:t xml:space="preserve"> ühiskonnale</w:t>
      </w:r>
      <w:r>
        <w:rPr>
          <w:rFonts w:eastAsia="Times New Roman"/>
        </w:rPr>
        <w:t xml:space="preserve"> kasvavad, kui peaks otsusta</w:t>
      </w:r>
      <w:r w:rsidR="005010D6">
        <w:rPr>
          <w:rFonts w:eastAsia="Times New Roman"/>
        </w:rPr>
        <w:t>ta</w:t>
      </w:r>
      <w:r>
        <w:rPr>
          <w:rFonts w:eastAsia="Times New Roman"/>
        </w:rPr>
        <w:t xml:space="preserve">ma, et varustuskindluse </w:t>
      </w:r>
      <w:r w:rsidR="004B1B58">
        <w:rPr>
          <w:rFonts w:eastAsia="Times New Roman"/>
        </w:rPr>
        <w:t>norm</w:t>
      </w:r>
      <w:r>
        <w:rPr>
          <w:rFonts w:eastAsia="Times New Roman"/>
        </w:rPr>
        <w:t xml:space="preserve"> oleks midagi muud kui optimaalne. Tasub ära märkida, et kulud kasvavad oluliselt kiiremini just selles suunas, kui LOLE tase oleks madalam. Kui lisada rohkem võimsusi soovides saada näiteks LOLE 3 tunni peale  (standard Poolas, </w:t>
      </w:r>
      <w:r w:rsidRPr="002C3109">
        <w:rPr>
          <w:rFonts w:eastAsia="Times New Roman"/>
        </w:rPr>
        <w:t>Ühendkuningriik</w:t>
      </w:r>
      <w:r>
        <w:rPr>
          <w:rFonts w:eastAsia="Times New Roman"/>
        </w:rPr>
        <w:t>ides ja Prantsusmaal) maksaks Eesti tingimustes ühiskond selle eest ligi 3,2 MEUR aastas rohkem.</w:t>
      </w:r>
    </w:p>
    <w:p w14:paraId="6290D004" w14:textId="77777777" w:rsidR="003D2C2F" w:rsidRDefault="003D2C2F" w:rsidP="00612147">
      <w:pPr>
        <w:keepNext/>
        <w:jc w:val="both"/>
      </w:pPr>
    </w:p>
    <w:p w14:paraId="68890683" w14:textId="384F996F" w:rsidR="003D2C2F" w:rsidRDefault="008057DC" w:rsidP="00612147">
      <w:pPr>
        <w:keepNext/>
        <w:jc w:val="both"/>
      </w:pPr>
      <w:r>
        <w:rPr>
          <w:noProof/>
        </w:rPr>
        <w:drawing>
          <wp:inline distT="0" distB="0" distL="0" distR="0" wp14:anchorId="084C46E1" wp14:editId="4786FAA3">
            <wp:extent cx="5760720" cy="2385695"/>
            <wp:effectExtent l="0" t="0" r="11430" b="14605"/>
            <wp:docPr id="15" name="Chart 15">
              <a:extLst xmlns:a="http://schemas.openxmlformats.org/drawingml/2006/main">
                <a:ext uri="{FF2B5EF4-FFF2-40B4-BE49-F238E27FC236}">
                  <a16:creationId xmlns:a16="http://schemas.microsoft.com/office/drawing/2014/main" id="{EDB9C156-F0C3-4901-8052-A79278699C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EEA86EF" w14:textId="20478C87" w:rsidR="005C6498" w:rsidRPr="00806B2A" w:rsidRDefault="003D2C2F" w:rsidP="00612147">
      <w:pPr>
        <w:pStyle w:val="Caption"/>
        <w:jc w:val="both"/>
      </w:pPr>
      <w:bookmarkStart w:id="4" w:name="_Ref73027401"/>
      <w:r>
        <w:t xml:space="preserve">Joonis </w:t>
      </w:r>
      <w:r w:rsidR="00AD5EF1">
        <w:rPr>
          <w:i w:val="0"/>
          <w:iCs w:val="0"/>
          <w:color w:val="44546A" w:themeColor="text2"/>
        </w:rPr>
        <w:fldChar w:fldCharType="begin"/>
      </w:r>
      <w:r w:rsidR="00AD5EF1">
        <w:rPr>
          <w:i w:val="0"/>
          <w:iCs w:val="0"/>
        </w:rPr>
        <w:instrText xml:space="preserve"> SEQ Joonis \* ARABIC </w:instrText>
      </w:r>
      <w:r w:rsidR="00AD5EF1">
        <w:rPr>
          <w:i w:val="0"/>
          <w:iCs w:val="0"/>
          <w:color w:val="44546A" w:themeColor="text2"/>
        </w:rPr>
        <w:fldChar w:fldCharType="separate"/>
      </w:r>
      <w:r w:rsidR="005571FB">
        <w:rPr>
          <w:i w:val="0"/>
          <w:iCs w:val="0"/>
          <w:noProof/>
        </w:rPr>
        <w:t>3</w:t>
      </w:r>
      <w:r w:rsidR="00AD5EF1">
        <w:rPr>
          <w:i w:val="0"/>
          <w:iCs w:val="0"/>
          <w:noProof/>
          <w:color w:val="44546A" w:themeColor="text2"/>
        </w:rPr>
        <w:fldChar w:fldCharType="end"/>
      </w:r>
      <w:bookmarkEnd w:id="4"/>
      <w:r>
        <w:t xml:space="preserve"> Sotsiaa</w:t>
      </w:r>
      <w:r>
        <w:rPr>
          <w:noProof/>
        </w:rPr>
        <w:t>lmajandusliku kasu kõver vastavalt LOLE tasemele</w:t>
      </w:r>
      <w:r w:rsidR="00D175D0">
        <w:rPr>
          <w:noProof/>
        </w:rPr>
        <w:t xml:space="preserve"> </w:t>
      </w:r>
      <w:r w:rsidR="00D175D0">
        <w:rPr>
          <w:rStyle w:val="FootnoteReference"/>
          <w:noProof/>
        </w:rPr>
        <w:footnoteReference w:id="9"/>
      </w:r>
    </w:p>
    <w:p w14:paraId="28AD4B65" w14:textId="114C05FA" w:rsidR="00177E68" w:rsidRPr="00987F17" w:rsidRDefault="005C6498" w:rsidP="00612147">
      <w:pPr>
        <w:pStyle w:val="Heading2"/>
        <w:numPr>
          <w:ilvl w:val="1"/>
          <w:numId w:val="24"/>
        </w:numPr>
        <w:jc w:val="both"/>
        <w:rPr>
          <w:rFonts w:eastAsia="Times New Roman"/>
        </w:rPr>
      </w:pPr>
      <w:bookmarkStart w:id="5" w:name="_Toc86157127"/>
      <w:r w:rsidRPr="00987F17">
        <w:t>Võimsusmehhanismi</w:t>
      </w:r>
      <w:r w:rsidRPr="00987F17">
        <w:rPr>
          <w:rFonts w:eastAsia="Times New Roman"/>
        </w:rPr>
        <w:t xml:space="preserve"> </w:t>
      </w:r>
      <w:r w:rsidR="0089286E">
        <w:rPr>
          <w:rFonts w:eastAsia="Times New Roman"/>
        </w:rPr>
        <w:t xml:space="preserve">rakendamise </w:t>
      </w:r>
      <w:r w:rsidR="006D32C8">
        <w:rPr>
          <w:rFonts w:eastAsia="Times New Roman"/>
        </w:rPr>
        <w:t>ajend</w:t>
      </w:r>
      <w:bookmarkEnd w:id="5"/>
      <w:r w:rsidRPr="00987F17">
        <w:rPr>
          <w:rFonts w:eastAsia="Times New Roman"/>
        </w:rPr>
        <w:t xml:space="preserve"> </w:t>
      </w:r>
    </w:p>
    <w:p w14:paraId="215428DC" w14:textId="72B7DCE8" w:rsidR="00784513" w:rsidRDefault="00426C5A" w:rsidP="00612147">
      <w:pPr>
        <w:jc w:val="both"/>
        <w:rPr>
          <w:rFonts w:eastAsia="Times New Roman"/>
        </w:rPr>
      </w:pPr>
      <w:r w:rsidRPr="009228F8">
        <w:rPr>
          <w:rFonts w:eastAsia="Times New Roman"/>
        </w:rPr>
        <w:t>Erinevate võimsusmehhanismide tüüpide analüüsil leiti, et strateegiline reserv oleks Eesti tingimustes kõige sobilikum</w:t>
      </w:r>
      <w:r w:rsidR="00F43131" w:rsidRPr="009228F8">
        <w:rPr>
          <w:rFonts w:eastAsia="Times New Roman"/>
        </w:rPr>
        <w:t xml:space="preserve"> </w:t>
      </w:r>
      <w:r w:rsidRPr="009228F8">
        <w:rPr>
          <w:rFonts w:eastAsia="Times New Roman"/>
        </w:rPr>
        <w:t>-</w:t>
      </w:r>
      <w:r w:rsidR="00F43131" w:rsidRPr="009228F8">
        <w:rPr>
          <w:rFonts w:eastAsia="Times New Roman"/>
        </w:rPr>
        <w:t xml:space="preserve"> </w:t>
      </w:r>
      <w:r w:rsidRPr="009228F8">
        <w:rPr>
          <w:rFonts w:eastAsia="Times New Roman"/>
        </w:rPr>
        <w:t xml:space="preserve">sellest täpsemalt peatükis </w:t>
      </w:r>
      <w:r w:rsidR="00AB04BB" w:rsidRPr="009228F8">
        <w:rPr>
          <w:rFonts w:eastAsia="Times New Roman"/>
        </w:rPr>
        <w:t>3</w:t>
      </w:r>
      <w:r w:rsidRPr="009228F8">
        <w:rPr>
          <w:rFonts w:eastAsia="Times New Roman"/>
        </w:rPr>
        <w:t>, aga s</w:t>
      </w:r>
      <w:r w:rsidR="005726D3" w:rsidRPr="009228F8">
        <w:rPr>
          <w:rFonts w:eastAsia="Times New Roman"/>
        </w:rPr>
        <w:t xml:space="preserve">õltuvalt võimsusmehhanismi tekkimise vajaduse </w:t>
      </w:r>
      <w:r w:rsidRPr="009228F8">
        <w:rPr>
          <w:rFonts w:eastAsia="Times New Roman"/>
        </w:rPr>
        <w:t xml:space="preserve">olukorrast </w:t>
      </w:r>
      <w:r w:rsidR="005726D3" w:rsidRPr="009228F8">
        <w:rPr>
          <w:rFonts w:eastAsia="Times New Roman"/>
        </w:rPr>
        <w:t xml:space="preserve">võib tekkida ka vajadus </w:t>
      </w:r>
      <w:r w:rsidRPr="009228F8">
        <w:rPr>
          <w:rFonts w:eastAsia="Times New Roman"/>
        </w:rPr>
        <w:t xml:space="preserve">kindlate </w:t>
      </w:r>
      <w:r w:rsidR="005726D3" w:rsidRPr="009228F8">
        <w:rPr>
          <w:rFonts w:eastAsia="Times New Roman"/>
        </w:rPr>
        <w:t>tehniliste parameetrite tagamiseks.</w:t>
      </w:r>
      <w:r w:rsidR="00784513" w:rsidRPr="009228F8">
        <w:rPr>
          <w:rFonts w:eastAsia="Times New Roman"/>
        </w:rPr>
        <w:t xml:space="preserve"> </w:t>
      </w:r>
      <w:r w:rsidR="00641FCA" w:rsidRPr="009228F8">
        <w:rPr>
          <w:rFonts w:eastAsia="Times New Roman"/>
        </w:rPr>
        <w:t xml:space="preserve">Süsteemi võimekuse </w:t>
      </w:r>
      <w:r w:rsidR="00784513" w:rsidRPr="009228F8">
        <w:rPr>
          <w:rFonts w:eastAsia="Times New Roman"/>
        </w:rPr>
        <w:lastRenderedPageBreak/>
        <w:t xml:space="preserve">hindamise raames tehtud simulatsioonide tulemusi analüüsides näeb sellist olukorda, mida kirjeldab </w:t>
      </w:r>
      <w:r w:rsidR="005571FB" w:rsidRPr="009228F8">
        <w:rPr>
          <w:rFonts w:eastAsia="Times New Roman"/>
        </w:rPr>
        <w:t xml:space="preserve">joonis 4 </w:t>
      </w:r>
      <w:r w:rsidR="00784513" w:rsidRPr="009228F8">
        <w:rPr>
          <w:rFonts w:eastAsia="Times New Roman"/>
        </w:rPr>
        <w:t>- mitu suurt riket on sattunud samale ajale.</w:t>
      </w:r>
      <w:r w:rsidR="00550116" w:rsidRPr="009228F8">
        <w:rPr>
          <w:rFonts w:eastAsia="Times New Roman"/>
        </w:rPr>
        <w:t xml:space="preserve"> Kuna Eesti elektrisüsteemi suurim element on Estlink 2</w:t>
      </w:r>
      <w:r w:rsidR="00641FCA" w:rsidRPr="009228F8">
        <w:rPr>
          <w:rFonts w:eastAsia="Times New Roman"/>
        </w:rPr>
        <w:t xml:space="preserve"> </w:t>
      </w:r>
      <w:r w:rsidR="00550116" w:rsidRPr="009228F8">
        <w:rPr>
          <w:rFonts w:eastAsia="Times New Roman"/>
        </w:rPr>
        <w:t>- 650 MW ja kaabel asub vee all, siis on risk, et kui kaabliga peaks midagi juhtuma on selle probleemi eemaldamine keeruline</w:t>
      </w:r>
      <w:r w:rsidR="00550116">
        <w:rPr>
          <w:rFonts w:eastAsia="Times New Roman"/>
        </w:rPr>
        <w:t xml:space="preserve"> ja aeganõudev.</w:t>
      </w:r>
      <w:r w:rsidR="00784513">
        <w:rPr>
          <w:rFonts w:eastAsia="Times New Roman"/>
        </w:rPr>
        <w:t xml:space="preserve"> </w:t>
      </w:r>
      <w:r w:rsidR="00550116">
        <w:rPr>
          <w:rFonts w:eastAsia="Times New Roman"/>
        </w:rPr>
        <w:t xml:space="preserve">Jooniselt </w:t>
      </w:r>
      <w:r w:rsidR="005571FB">
        <w:rPr>
          <w:rFonts w:eastAsia="Times New Roman"/>
        </w:rPr>
        <w:t>ilmneb</w:t>
      </w:r>
      <w:r w:rsidR="00550116">
        <w:rPr>
          <w:rFonts w:eastAsia="Times New Roman"/>
        </w:rPr>
        <w:t>, et kui impordivõimekus on 650 MW väiksem, siis järgnev avarii võib tekitada puuduvat energiat, eriti kui see satub kõrge tarbimise ja madala taastuvenergia tootlikkuse ajal.</w:t>
      </w:r>
      <w:r w:rsidR="00090935">
        <w:rPr>
          <w:rFonts w:eastAsia="Times New Roman"/>
        </w:rPr>
        <w:t xml:space="preserve"> Mida pikemaajalisem on rike, seda suurem on tõenäosus, et samale ajale satub ka teisi avariisid, mida ei suudeta enam turupõhiselt katta.</w:t>
      </w:r>
    </w:p>
    <w:p w14:paraId="4972E925" w14:textId="7339D8FA" w:rsidR="00A074BB" w:rsidRDefault="009228F8" w:rsidP="00612147">
      <w:pPr>
        <w:keepNext/>
        <w:jc w:val="both"/>
      </w:pPr>
      <w:r w:rsidRPr="00526C0C">
        <w:rPr>
          <w:rFonts w:eastAsia="Times New Roman"/>
          <w:noProof/>
        </w:rPr>
        <w:drawing>
          <wp:inline distT="0" distB="0" distL="0" distR="0" wp14:anchorId="0D45E968" wp14:editId="30E5F440">
            <wp:extent cx="5760720" cy="3223895"/>
            <wp:effectExtent l="0" t="0" r="11430" b="1460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486A578" w14:textId="0F3566B1" w:rsidR="00A074BB" w:rsidRDefault="00A074BB" w:rsidP="00612147">
      <w:pPr>
        <w:pStyle w:val="Caption"/>
        <w:jc w:val="both"/>
        <w:rPr>
          <w:rFonts w:eastAsia="Times New Roman"/>
        </w:rPr>
      </w:pPr>
      <w:r>
        <w:t xml:space="preserve">Joonis </w:t>
      </w:r>
      <w:fldSimple w:instr=" SEQ Joonis \* ARABIC ">
        <w:r w:rsidR="005571FB">
          <w:rPr>
            <w:noProof/>
          </w:rPr>
          <w:t>4</w:t>
        </w:r>
      </w:fldSimple>
      <w:r>
        <w:t xml:space="preserve"> Näitlik olukord andmata jäänud energia tekkimisest kui Estlink 2 on olnud avariiliselt väljas ning tekib ka N-2 ehk lisaks veel üks põlevkivi plokk on avariis. See on kõik toimumas</w:t>
      </w:r>
      <w:r>
        <w:rPr>
          <w:noProof/>
        </w:rPr>
        <w:t xml:space="preserve"> olukorras, mil tarbimine on kõrge ja taastuvenergia tootmine madal</w:t>
      </w:r>
    </w:p>
    <w:p w14:paraId="18069A5D" w14:textId="12A2A27A" w:rsidR="00090935" w:rsidRDefault="00090935" w:rsidP="00612147">
      <w:pPr>
        <w:jc w:val="both"/>
        <w:rPr>
          <w:rFonts w:eastAsia="Times New Roman"/>
        </w:rPr>
      </w:pPr>
      <w:r w:rsidRPr="009228F8">
        <w:rPr>
          <w:rFonts w:eastAsia="Times New Roman"/>
        </w:rPr>
        <w:t>Rikkest põhjustatud puudujääk aga tähendab, et strateegiline reserv peab samuti olema suuteline käivitu</w:t>
      </w:r>
      <w:r w:rsidR="00D175D0" w:rsidRPr="009228F8">
        <w:rPr>
          <w:rFonts w:eastAsia="Times New Roman"/>
        </w:rPr>
        <w:t>m</w:t>
      </w:r>
      <w:r w:rsidRPr="009228F8">
        <w:rPr>
          <w:rFonts w:eastAsia="Times New Roman"/>
        </w:rPr>
        <w:t>a</w:t>
      </w:r>
      <w:r w:rsidR="003B4841" w:rsidRPr="009228F8">
        <w:rPr>
          <w:rFonts w:eastAsia="Times New Roman"/>
        </w:rPr>
        <w:t xml:space="preserve"> piisavalt</w:t>
      </w:r>
      <w:r w:rsidRPr="009228F8">
        <w:rPr>
          <w:rFonts w:eastAsia="Times New Roman"/>
        </w:rPr>
        <w:t xml:space="preserve"> kiiresti, et vabastada rikke eemaldamiseks tööle pandud kiiremaid reserve</w:t>
      </w:r>
      <w:r w:rsidR="003B4841" w:rsidRPr="009228F8">
        <w:rPr>
          <w:rFonts w:eastAsia="Times New Roman"/>
        </w:rPr>
        <w:t xml:space="preserve"> (vaata joonis </w:t>
      </w:r>
      <w:r w:rsidR="005571FB" w:rsidRPr="009228F8">
        <w:rPr>
          <w:rFonts w:eastAsia="Times New Roman"/>
        </w:rPr>
        <w:t>5</w:t>
      </w:r>
      <w:r w:rsidR="003B4841" w:rsidRPr="009228F8">
        <w:rPr>
          <w:rFonts w:eastAsia="Times New Roman"/>
        </w:rPr>
        <w:t>)</w:t>
      </w:r>
      <w:r w:rsidRPr="009228F8">
        <w:rPr>
          <w:rFonts w:eastAsia="Times New Roman"/>
        </w:rPr>
        <w:t xml:space="preserve">. Samuti peaks </w:t>
      </w:r>
      <w:r w:rsidR="00077D14" w:rsidRPr="009228F8">
        <w:rPr>
          <w:rFonts w:eastAsia="Times New Roman"/>
        </w:rPr>
        <w:t xml:space="preserve">strateegiline reserv </w:t>
      </w:r>
      <w:r w:rsidRPr="009228F8">
        <w:rPr>
          <w:rFonts w:eastAsia="Times New Roman"/>
        </w:rPr>
        <w:t>vajadusel suutma töötada mitu päeva järjest tagades tipukoormust</w:t>
      </w:r>
      <w:r>
        <w:rPr>
          <w:rFonts w:eastAsia="Times New Roman"/>
        </w:rPr>
        <w:t>.</w:t>
      </w:r>
      <w:r w:rsidRPr="00177E68">
        <w:rPr>
          <w:rFonts w:eastAsia="Times New Roman"/>
        </w:rPr>
        <w:t xml:space="preserve"> </w:t>
      </w:r>
    </w:p>
    <w:p w14:paraId="7EF7ADE7" w14:textId="0FAFDAFF" w:rsidR="005571FB" w:rsidRDefault="009228F8" w:rsidP="009228F8">
      <w:pPr>
        <w:keepNext/>
        <w:jc w:val="both"/>
      </w:pPr>
      <w:r>
        <w:rPr>
          <w:noProof/>
        </w:rPr>
        <w:lastRenderedPageBreak/>
        <w:drawing>
          <wp:inline distT="0" distB="0" distL="0" distR="0" wp14:anchorId="68713510" wp14:editId="5A0D8B24">
            <wp:extent cx="5183302" cy="3895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94412" cy="3904075"/>
                    </a:xfrm>
                    <a:prstGeom prst="rect">
                      <a:avLst/>
                    </a:prstGeom>
                    <a:noFill/>
                  </pic:spPr>
                </pic:pic>
              </a:graphicData>
            </a:graphic>
          </wp:inline>
        </w:drawing>
      </w:r>
    </w:p>
    <w:p w14:paraId="1CE37FA4" w14:textId="1EF150AE" w:rsidR="00B15E6F" w:rsidRPr="009228F8" w:rsidRDefault="005571FB" w:rsidP="009228F8">
      <w:pPr>
        <w:pStyle w:val="Caption"/>
        <w:jc w:val="both"/>
      </w:pPr>
      <w:r w:rsidRPr="00077D14">
        <w:t xml:space="preserve">Joonis </w:t>
      </w:r>
      <w:fldSimple w:instr=" SEQ Joonis \* ARABIC ">
        <w:r w:rsidRPr="009228F8">
          <w:rPr>
            <w:noProof/>
          </w:rPr>
          <w:t>5</w:t>
        </w:r>
      </w:fldSimple>
      <w:r w:rsidRPr="009228F8">
        <w:t xml:space="preserve"> </w:t>
      </w:r>
      <w:r w:rsidR="00077D14" w:rsidRPr="009228F8">
        <w:t>Illustreeriv näide strateegilise reservi käivitamisest</w:t>
      </w:r>
    </w:p>
    <w:p w14:paraId="21393B36" w14:textId="48CEEC14" w:rsidR="00526C0C" w:rsidRDefault="005726D3" w:rsidP="00612147">
      <w:pPr>
        <w:jc w:val="both"/>
        <w:rPr>
          <w:rFonts w:eastAsia="Times New Roman"/>
        </w:rPr>
      </w:pPr>
      <w:r>
        <w:rPr>
          <w:rFonts w:eastAsia="Times New Roman"/>
        </w:rPr>
        <w:t>Sarnase väljundi andmata jäänud energia koha pealt võivad anda</w:t>
      </w:r>
      <w:r w:rsidR="00426C5A">
        <w:rPr>
          <w:rFonts w:eastAsia="Times New Roman"/>
        </w:rPr>
        <w:t xml:space="preserve"> aeglaselt käivituv suurema võimsusega reserv ja kiirelt käivituv väiksema võimsusega reserv. </w:t>
      </w:r>
    </w:p>
    <w:p w14:paraId="5944E5E5" w14:textId="77777777" w:rsidR="0016514F" w:rsidRDefault="0016514F" w:rsidP="00612147">
      <w:pPr>
        <w:jc w:val="both"/>
        <w:rPr>
          <w:rFonts w:eastAsia="Times New Roman"/>
          <w:b/>
          <w:bCs/>
        </w:rPr>
      </w:pPr>
    </w:p>
    <w:p w14:paraId="2988C435" w14:textId="5DD77A48" w:rsidR="0016514F" w:rsidRPr="00806B2A" w:rsidRDefault="0016514F" w:rsidP="00612147">
      <w:pPr>
        <w:pStyle w:val="Heading2"/>
        <w:numPr>
          <w:ilvl w:val="1"/>
          <w:numId w:val="24"/>
        </w:numPr>
        <w:jc w:val="both"/>
        <w:rPr>
          <w:rFonts w:eastAsia="Times New Roman"/>
        </w:rPr>
      </w:pPr>
      <w:bookmarkStart w:id="6" w:name="_Toc86157128"/>
      <w:r w:rsidRPr="0016514F">
        <w:t>Turumoonutus</w:t>
      </w:r>
      <w:bookmarkEnd w:id="6"/>
    </w:p>
    <w:p w14:paraId="7EDBEE15" w14:textId="0CDAF3CF" w:rsidR="0016514F" w:rsidRPr="00806B2A" w:rsidRDefault="0016514F" w:rsidP="00612147">
      <w:pPr>
        <w:jc w:val="both"/>
        <w:rPr>
          <w:rFonts w:eastAsia="Times New Roman"/>
        </w:rPr>
      </w:pPr>
      <w:r w:rsidRPr="00806B2A">
        <w:rPr>
          <w:rFonts w:eastAsia="Times New Roman"/>
        </w:rPr>
        <w:t>Kui ERAA analüüs ja/või samaväärne tõenäosuslik r</w:t>
      </w:r>
      <w:r w:rsidR="00FA0DF8">
        <w:rPr>
          <w:rFonts w:eastAsia="Times New Roman"/>
        </w:rPr>
        <w:t>iiklik</w:t>
      </w:r>
      <w:r w:rsidRPr="00806B2A">
        <w:rPr>
          <w:rFonts w:eastAsia="Times New Roman"/>
        </w:rPr>
        <w:t xml:space="preserve"> analüüs näitab, et </w:t>
      </w:r>
      <w:r w:rsidR="00641FCA" w:rsidRPr="00806B2A">
        <w:rPr>
          <w:rFonts w:eastAsia="Times New Roman"/>
        </w:rPr>
        <w:t>süsteemi</w:t>
      </w:r>
      <w:r w:rsidR="00641FCA">
        <w:rPr>
          <w:rFonts w:eastAsia="Times New Roman"/>
        </w:rPr>
        <w:t xml:space="preserve"> võimekuse</w:t>
      </w:r>
      <w:r w:rsidR="00641FCA" w:rsidRPr="00806B2A">
        <w:rPr>
          <w:rFonts w:eastAsia="Times New Roman"/>
        </w:rPr>
        <w:t xml:space="preserve"> </w:t>
      </w:r>
      <w:r w:rsidRPr="00806B2A">
        <w:rPr>
          <w:rFonts w:eastAsia="Times New Roman"/>
        </w:rPr>
        <w:t xml:space="preserve">olukord on kehvem kui varustuskindluse norm, siis tuleb </w:t>
      </w:r>
      <w:r w:rsidR="005E7FFB">
        <w:rPr>
          <w:rFonts w:eastAsia="Times New Roman"/>
        </w:rPr>
        <w:t>liikmesriigil tuvastada regulatiivsed moonutused ja  võimalikud turutõrked, mis on põhjustanud olukorra, et süsteemi ressursside piisavus pole varustuskindl</w:t>
      </w:r>
      <w:r w:rsidR="00E2707D">
        <w:rPr>
          <w:rFonts w:eastAsia="Times New Roman"/>
        </w:rPr>
        <w:t>us</w:t>
      </w:r>
      <w:r w:rsidR="005E7FFB">
        <w:rPr>
          <w:rFonts w:eastAsia="Times New Roman"/>
        </w:rPr>
        <w:t xml:space="preserve">e normi ulatuses tagatud. Vastavate probleemide tuvastamiseks ja elimineerimiseks tuleb </w:t>
      </w:r>
      <w:r w:rsidRPr="00806B2A">
        <w:rPr>
          <w:rFonts w:eastAsia="Times New Roman"/>
        </w:rPr>
        <w:t xml:space="preserve">koostada plaan, </w:t>
      </w:r>
      <w:r w:rsidR="00552B9C">
        <w:rPr>
          <w:rFonts w:eastAsia="Times New Roman"/>
        </w:rPr>
        <w:t>ehk nn rakenduskava vastavalt</w:t>
      </w:r>
      <w:r w:rsidR="005E7FFB">
        <w:rPr>
          <w:rFonts w:eastAsia="Times New Roman"/>
        </w:rPr>
        <w:t xml:space="preserve"> määruse artiklile 20 lõikele 3, mille eesmärgiks on erinevate </w:t>
      </w:r>
      <w:r w:rsidR="005E7FFB">
        <w:t>tuvastatud regulatiivsete moonutuste ja turutõrgete kõrvaldamine kindla ajaplaani raames</w:t>
      </w:r>
      <w:r w:rsidRPr="00806B2A">
        <w:rPr>
          <w:rFonts w:eastAsia="Times New Roman"/>
        </w:rPr>
        <w:t xml:space="preserve"> </w:t>
      </w:r>
    </w:p>
    <w:p w14:paraId="32DCEFD2" w14:textId="46D05855" w:rsidR="00451AAD" w:rsidRDefault="0016514F" w:rsidP="00612147">
      <w:pPr>
        <w:jc w:val="both"/>
      </w:pPr>
      <w:r>
        <w:t>Tasub märkida, et enne</w:t>
      </w:r>
      <w:r w:rsidR="00077D14">
        <w:t xml:space="preserve"> strateegilise reservi rakendamist</w:t>
      </w:r>
      <w:r>
        <w:t xml:space="preserve"> tuleb plaan esitada Euroopa Komisjonile kinnitamiseks ja nõusoleku korral tuleb see avalikustada</w:t>
      </w:r>
      <w:r w:rsidR="00536EB7">
        <w:t>, ja esita</w:t>
      </w:r>
      <w:r w:rsidR="005E7FFB">
        <w:t>da</w:t>
      </w:r>
      <w:r w:rsidR="00536EB7">
        <w:t xml:space="preserve"> </w:t>
      </w:r>
      <w:r w:rsidR="005E7FFB">
        <w:t>uuesti</w:t>
      </w:r>
      <w:r w:rsidR="00536EB7">
        <w:t xml:space="preserve"> Euroopa Komisjonile iga-aastase võimsusmehhanismi rakendamise aruande raames vastavalt metoodika artiklile 20(6)</w:t>
      </w:r>
      <w:r>
        <w:t xml:space="preserve">, et kohalikud ja naaberriikide turuosalised oskaksid tekkivate muutustega arvestada. </w:t>
      </w:r>
    </w:p>
    <w:p w14:paraId="56498ABF" w14:textId="1E5EB89C" w:rsidR="0016514F" w:rsidRDefault="0016514F" w:rsidP="00612147">
      <w:pPr>
        <w:jc w:val="both"/>
      </w:pPr>
      <w:r>
        <w:t xml:space="preserve">Enne konkreetsete sammude tegemist </w:t>
      </w:r>
      <w:r w:rsidR="00451AAD">
        <w:t xml:space="preserve">võimsusmehhanismi rakendamise osas </w:t>
      </w:r>
      <w:r>
        <w:t xml:space="preserve">tuleb teha </w:t>
      </w:r>
      <w:r w:rsidR="00451AAD">
        <w:t xml:space="preserve">ka </w:t>
      </w:r>
      <w:r>
        <w:t>põhjalik analüüs</w:t>
      </w:r>
      <w:r w:rsidR="00536EB7">
        <w:t xml:space="preserve"> (vastavalt metoodika artiklile 21(2))</w:t>
      </w:r>
      <w:r>
        <w:t xml:space="preserve"> võimalike tagajärgede kohta, mida võimsusmehhanismi rakendamine võib avaldada elektriturule ja naaberriikidele, mille käigus konsulteeritakse vähemalt otseühendusi omavate naabritega.</w:t>
      </w:r>
    </w:p>
    <w:p w14:paraId="173363CF" w14:textId="30FDCF3B" w:rsidR="0016514F" w:rsidRDefault="0016514F" w:rsidP="00612147">
      <w:pPr>
        <w:jc w:val="both"/>
        <w:rPr>
          <w:rFonts w:eastAsia="Times New Roman"/>
        </w:rPr>
      </w:pPr>
      <w:r w:rsidRPr="00806B2A">
        <w:rPr>
          <w:rFonts w:eastAsia="Times New Roman"/>
        </w:rPr>
        <w:t>Võimsusmehhanismi plaani rakendamise iga</w:t>
      </w:r>
      <w:r>
        <w:rPr>
          <w:rFonts w:eastAsia="Times New Roman"/>
        </w:rPr>
        <w:t>-</w:t>
      </w:r>
      <w:r w:rsidRPr="00806B2A">
        <w:rPr>
          <w:rFonts w:eastAsia="Times New Roman"/>
        </w:rPr>
        <w:t>aasta</w:t>
      </w:r>
      <w:r>
        <w:rPr>
          <w:rFonts w:eastAsia="Times New Roman"/>
        </w:rPr>
        <w:t>se</w:t>
      </w:r>
      <w:r w:rsidRPr="00806B2A">
        <w:rPr>
          <w:rFonts w:eastAsia="Times New Roman"/>
        </w:rPr>
        <w:t xml:space="preserve"> aruan</w:t>
      </w:r>
      <w:r w:rsidR="00536EB7">
        <w:rPr>
          <w:rFonts w:eastAsia="Times New Roman"/>
        </w:rPr>
        <w:t xml:space="preserve">de avaldamisega tuleb jätkata ka siis kui võimsusmehhanism on juba rakendatud ja nii kaua kui vastavat mehhanismi kasutatakse. Aruanne </w:t>
      </w:r>
      <w:r w:rsidR="00536EB7">
        <w:rPr>
          <w:rFonts w:eastAsia="Times New Roman"/>
        </w:rPr>
        <w:lastRenderedPageBreak/>
        <w:t>tuleb jätkuvalt</w:t>
      </w:r>
      <w:r w:rsidRPr="00806B2A">
        <w:rPr>
          <w:rFonts w:eastAsia="Times New Roman"/>
        </w:rPr>
        <w:t xml:space="preserve"> esitada </w:t>
      </w:r>
      <w:r w:rsidR="00536EB7">
        <w:rPr>
          <w:rFonts w:eastAsia="Times New Roman"/>
        </w:rPr>
        <w:t>ka</w:t>
      </w:r>
      <w:r w:rsidR="00151B7F">
        <w:rPr>
          <w:rFonts w:eastAsia="Times New Roman"/>
        </w:rPr>
        <w:t xml:space="preserve"> </w:t>
      </w:r>
      <w:r w:rsidRPr="00806B2A">
        <w:rPr>
          <w:rFonts w:eastAsia="Times New Roman"/>
        </w:rPr>
        <w:t>Euroopa Komisjonile</w:t>
      </w:r>
      <w:r>
        <w:rPr>
          <w:rFonts w:eastAsia="Times New Roman"/>
        </w:rPr>
        <w:t xml:space="preserve"> </w:t>
      </w:r>
      <w:r w:rsidRPr="00806B2A">
        <w:rPr>
          <w:rFonts w:eastAsia="Times New Roman"/>
        </w:rPr>
        <w:t xml:space="preserve">- selle põhjal otsustatakse, kas tehtud tegevused on piisavad, et </w:t>
      </w:r>
      <w:r w:rsidR="00641FCA" w:rsidRPr="00806B2A">
        <w:rPr>
          <w:rFonts w:eastAsia="Times New Roman"/>
        </w:rPr>
        <w:t>süsteemi</w:t>
      </w:r>
      <w:r w:rsidR="00641FCA">
        <w:rPr>
          <w:rFonts w:eastAsia="Times New Roman"/>
        </w:rPr>
        <w:t xml:space="preserve"> võimekuse</w:t>
      </w:r>
      <w:r w:rsidR="00641FCA" w:rsidRPr="00806B2A">
        <w:rPr>
          <w:rFonts w:eastAsia="Times New Roman"/>
        </w:rPr>
        <w:t xml:space="preserve"> </w:t>
      </w:r>
      <w:r w:rsidRPr="00806B2A">
        <w:rPr>
          <w:rFonts w:eastAsia="Times New Roman"/>
        </w:rPr>
        <w:t>probleem saaks õigeks ajaks lahenduse.</w:t>
      </w:r>
    </w:p>
    <w:p w14:paraId="7F85CE63" w14:textId="77777777" w:rsidR="003B4841" w:rsidRDefault="003B4841" w:rsidP="00612147">
      <w:pPr>
        <w:jc w:val="both"/>
        <w:rPr>
          <w:rFonts w:eastAsia="Times New Roman"/>
        </w:rPr>
      </w:pPr>
    </w:p>
    <w:p w14:paraId="410E6F11" w14:textId="41454AF6" w:rsidR="005C6498" w:rsidRPr="00460A5C" w:rsidRDefault="00641FCA" w:rsidP="00612147">
      <w:pPr>
        <w:pStyle w:val="Heading2"/>
        <w:numPr>
          <w:ilvl w:val="1"/>
          <w:numId w:val="24"/>
        </w:numPr>
        <w:jc w:val="both"/>
      </w:pPr>
      <w:bookmarkStart w:id="7" w:name="_Toc86157129"/>
      <w:r w:rsidRPr="00460A5C">
        <w:t>Süsteemi</w:t>
      </w:r>
      <w:r>
        <w:t xml:space="preserve"> võimekus</w:t>
      </w:r>
      <w:r w:rsidR="004D6392">
        <w:t>e hetkeolukord</w:t>
      </w:r>
      <w:r w:rsidRPr="00460A5C">
        <w:t xml:space="preserve"> </w:t>
      </w:r>
      <w:r w:rsidR="0016514F">
        <w:t xml:space="preserve">tuginedes üleeuroopalisele </w:t>
      </w:r>
      <w:r>
        <w:t>süsteemi võimekuse</w:t>
      </w:r>
      <w:r w:rsidR="0016514F">
        <w:t>,</w:t>
      </w:r>
      <w:r w:rsidR="00460A5C" w:rsidRPr="00460A5C">
        <w:t xml:space="preserve"> </w:t>
      </w:r>
      <w:r w:rsidR="004D6392">
        <w:t>ERAA2021</w:t>
      </w:r>
      <w:r w:rsidR="0016514F">
        <w:t>,</w:t>
      </w:r>
      <w:r w:rsidR="00460A5C" w:rsidRPr="00460A5C">
        <w:t xml:space="preserve"> analüüsile</w:t>
      </w:r>
      <w:bookmarkEnd w:id="7"/>
      <w:r w:rsidR="00460A5C" w:rsidRPr="00460A5C">
        <w:t xml:space="preserve"> </w:t>
      </w:r>
    </w:p>
    <w:p w14:paraId="48D9F907" w14:textId="31787D21" w:rsidR="00460A5C" w:rsidRDefault="004D6392" w:rsidP="00612147">
      <w:pPr>
        <w:jc w:val="both"/>
        <w:rPr>
          <w:rFonts w:eastAsia="Times New Roman"/>
        </w:rPr>
      </w:pPr>
      <w:r w:rsidRPr="00460A5C">
        <w:rPr>
          <w:rFonts w:eastAsia="Times New Roman"/>
        </w:rPr>
        <w:t>ENTSO-E</w:t>
      </w:r>
      <w:r>
        <w:rPr>
          <w:rFonts w:eastAsia="Times New Roman"/>
        </w:rPr>
        <w:t xml:space="preserve"> värske</w:t>
      </w:r>
      <w:r w:rsidR="001E273D">
        <w:rPr>
          <w:rFonts w:eastAsia="Times New Roman"/>
        </w:rPr>
        <w:t xml:space="preserve"> </w:t>
      </w:r>
      <w:r>
        <w:rPr>
          <w:rFonts w:eastAsia="Times New Roman"/>
        </w:rPr>
        <w:t>ERAA2021</w:t>
      </w:r>
      <w:r w:rsidR="00460A5C" w:rsidRPr="00460A5C">
        <w:rPr>
          <w:rFonts w:eastAsia="Times New Roman"/>
        </w:rPr>
        <w:t xml:space="preserve"> tulemus</w:t>
      </w:r>
      <w:r w:rsidR="00460A5C">
        <w:rPr>
          <w:rFonts w:eastAsia="Times New Roman"/>
        </w:rPr>
        <w:t xml:space="preserve">ed näitavad, et Läänemere regioonis ühelgi riigil viimaste andmete järgi </w:t>
      </w:r>
      <w:r w:rsidR="00641FCA">
        <w:rPr>
          <w:rFonts w:eastAsia="Times New Roman"/>
        </w:rPr>
        <w:t xml:space="preserve">süsteemi võimkusega </w:t>
      </w:r>
      <w:r w:rsidR="00460A5C">
        <w:rPr>
          <w:rFonts w:eastAsia="Times New Roman"/>
        </w:rPr>
        <w:t>probleeme ei ole. O</w:t>
      </w:r>
      <w:r w:rsidR="00460A5C" w:rsidRPr="00460A5C">
        <w:rPr>
          <w:rFonts w:eastAsia="Times New Roman"/>
        </w:rPr>
        <w:t>n näha, et Balti riikidel võib mõlemal vaadeldaval aastal tekkida olukord, kus</w:t>
      </w:r>
      <w:r w:rsidR="00460A5C">
        <w:rPr>
          <w:rFonts w:eastAsia="Times New Roman"/>
        </w:rPr>
        <w:t xml:space="preserve"> </w:t>
      </w:r>
      <w:r w:rsidR="00460A5C" w:rsidRPr="00460A5C">
        <w:rPr>
          <w:rFonts w:eastAsia="Times New Roman"/>
        </w:rPr>
        <w:t xml:space="preserve">tarbimine ületab mõnel tunnil </w:t>
      </w:r>
      <w:r w:rsidR="00460A5C">
        <w:rPr>
          <w:rFonts w:eastAsia="Times New Roman"/>
        </w:rPr>
        <w:t xml:space="preserve">aastast </w:t>
      </w:r>
      <w:r w:rsidR="00460A5C" w:rsidRPr="00460A5C">
        <w:rPr>
          <w:rFonts w:eastAsia="Times New Roman"/>
        </w:rPr>
        <w:t xml:space="preserve">turu poolt pakutavat võimsust, kuid </w:t>
      </w:r>
      <w:r w:rsidR="00A96AFF" w:rsidRPr="00460A5C">
        <w:rPr>
          <w:rFonts w:eastAsia="Times New Roman"/>
        </w:rPr>
        <w:t>se</w:t>
      </w:r>
      <w:r w:rsidR="00A96AFF">
        <w:rPr>
          <w:rFonts w:eastAsia="Times New Roman"/>
        </w:rPr>
        <w:t xml:space="preserve">lliste sündmuste esinemise sagedus </w:t>
      </w:r>
      <w:r w:rsidR="00460A5C">
        <w:rPr>
          <w:rFonts w:eastAsia="Times New Roman"/>
        </w:rPr>
        <w:t>jääb varustuskindluse normi piiresse ja seetõttu ei nõua sekkumist.</w:t>
      </w:r>
    </w:p>
    <w:p w14:paraId="6A1D84AD" w14:textId="647FF456" w:rsidR="00460A5C" w:rsidRDefault="004D6392" w:rsidP="00612147">
      <w:pPr>
        <w:jc w:val="both"/>
        <w:rPr>
          <w:rFonts w:eastAsia="Times New Roman"/>
        </w:rPr>
      </w:pPr>
      <w:r w:rsidRPr="004D6392">
        <w:rPr>
          <w:rFonts w:eastAsia="Times New Roman"/>
        </w:rPr>
        <w:drawing>
          <wp:inline distT="0" distB="0" distL="0" distR="0" wp14:anchorId="1BCD7B4F" wp14:editId="2A1676FE">
            <wp:extent cx="5760720" cy="38207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820795"/>
                    </a:xfrm>
                    <a:prstGeom prst="rect">
                      <a:avLst/>
                    </a:prstGeom>
                  </pic:spPr>
                </pic:pic>
              </a:graphicData>
            </a:graphic>
          </wp:inline>
        </w:drawing>
      </w:r>
    </w:p>
    <w:p w14:paraId="68F1B17E" w14:textId="340A495B" w:rsidR="00460A5C" w:rsidRDefault="00077D14" w:rsidP="00612147">
      <w:pPr>
        <w:jc w:val="both"/>
        <w:rPr>
          <w:rFonts w:eastAsia="Times New Roman"/>
        </w:rPr>
      </w:pPr>
      <w:r>
        <w:rPr>
          <w:rFonts w:eastAsia="Times New Roman"/>
        </w:rPr>
        <w:t>Joonis 6: Piirangutundide arv 2025 ja 2030 vastavalt ENTSO-E 202</w:t>
      </w:r>
      <w:r w:rsidR="004D6392">
        <w:rPr>
          <w:rFonts w:eastAsia="Times New Roman"/>
        </w:rPr>
        <w:t>1</w:t>
      </w:r>
      <w:r>
        <w:rPr>
          <w:rFonts w:eastAsia="Times New Roman"/>
        </w:rPr>
        <w:t xml:space="preserve"> analüüsile</w:t>
      </w:r>
    </w:p>
    <w:p w14:paraId="124B24C7" w14:textId="77777777" w:rsidR="00460A5C" w:rsidRDefault="00460A5C" w:rsidP="00612147">
      <w:pPr>
        <w:jc w:val="both"/>
        <w:rPr>
          <w:rFonts w:eastAsia="Times New Roman"/>
        </w:rPr>
      </w:pPr>
    </w:p>
    <w:p w14:paraId="70720EA6" w14:textId="1F84F247" w:rsidR="004E02A2" w:rsidRPr="00460A5C" w:rsidRDefault="004E02A2" w:rsidP="00612147">
      <w:pPr>
        <w:jc w:val="both"/>
        <w:rPr>
          <w:rFonts w:eastAsia="Times New Roman"/>
        </w:rPr>
      </w:pPr>
      <w:r w:rsidRPr="00BD2EC6">
        <w:rPr>
          <w:rFonts w:eastAsia="Times New Roman"/>
        </w:rPr>
        <w:t xml:space="preserve">Lisaks </w:t>
      </w:r>
      <w:r w:rsidR="00362E9C">
        <w:rPr>
          <w:rFonts w:eastAsia="Times New Roman"/>
        </w:rPr>
        <w:t>ühtsele</w:t>
      </w:r>
      <w:r w:rsidRPr="00460A5C">
        <w:rPr>
          <w:rFonts w:eastAsia="Times New Roman"/>
        </w:rPr>
        <w:t xml:space="preserve"> Euroopa elektrituru stsenaariumile vaatleme ka spetsiifilisemaid Baltikumi eristsenaariume, mis kirjeldavad kuni 2026. aastani (Kesk-Euroopa elektrisüsteemiga sünkroniseerimiseni) peamisi riske ja tagajärgi ning pärast 2026 aastat</w:t>
      </w:r>
      <w:r w:rsidR="001E273D">
        <w:rPr>
          <w:rFonts w:eastAsia="Times New Roman"/>
        </w:rPr>
        <w:t xml:space="preserve"> uue elektrisüsteemi peamisi riske</w:t>
      </w:r>
      <w:r w:rsidRPr="00460A5C">
        <w:rPr>
          <w:rFonts w:eastAsia="Times New Roman"/>
        </w:rPr>
        <w:t xml:space="preserve">. Oma tõenäosuslike mudelitega </w:t>
      </w:r>
      <w:r w:rsidR="00077D14">
        <w:rPr>
          <w:rFonts w:eastAsia="Times New Roman"/>
        </w:rPr>
        <w:t>hindab Elering,</w:t>
      </w:r>
      <w:r w:rsidRPr="00460A5C">
        <w:rPr>
          <w:rFonts w:eastAsia="Times New Roman"/>
        </w:rPr>
        <w:t xml:space="preserve"> kui palju ka nendes eriolukordades võib piirangutunde tekkida. </w:t>
      </w:r>
    </w:p>
    <w:p w14:paraId="1D367ED4" w14:textId="3D0B6931" w:rsidR="00124486" w:rsidRPr="00124486" w:rsidRDefault="004E02A2" w:rsidP="00612147">
      <w:pPr>
        <w:spacing w:after="0" w:line="240" w:lineRule="auto"/>
        <w:jc w:val="both"/>
        <w:rPr>
          <w:rFonts w:eastAsia="Times New Roman"/>
          <w:highlight w:val="yellow"/>
        </w:rPr>
      </w:pPr>
      <w:r w:rsidRPr="00460A5C">
        <w:rPr>
          <w:rFonts w:eastAsia="Times New Roman"/>
        </w:rPr>
        <w:t>Võimsusmehhanismi vajaduse tekkimise korral määra</w:t>
      </w:r>
      <w:r w:rsidR="006A6128">
        <w:rPr>
          <w:rFonts w:eastAsia="Times New Roman"/>
        </w:rPr>
        <w:t>b Elering</w:t>
      </w:r>
      <w:r w:rsidRPr="00460A5C">
        <w:rPr>
          <w:rFonts w:eastAsia="Times New Roman"/>
        </w:rPr>
        <w:t xml:space="preserve"> puudu oleva võimsuse koguse sarnaselt </w:t>
      </w:r>
      <w:r w:rsidR="00641FCA" w:rsidRPr="00460A5C">
        <w:rPr>
          <w:rFonts w:eastAsia="Times New Roman"/>
        </w:rPr>
        <w:t>süsteemi</w:t>
      </w:r>
      <w:r w:rsidR="00641FCA">
        <w:rPr>
          <w:rFonts w:eastAsia="Times New Roman"/>
        </w:rPr>
        <w:t xml:space="preserve"> võimekuse</w:t>
      </w:r>
      <w:r w:rsidR="00641FCA" w:rsidRPr="00460A5C">
        <w:rPr>
          <w:rFonts w:eastAsia="Times New Roman"/>
        </w:rPr>
        <w:t xml:space="preserve"> </w:t>
      </w:r>
      <w:r w:rsidRPr="00460A5C">
        <w:rPr>
          <w:rFonts w:eastAsia="Times New Roman"/>
        </w:rPr>
        <w:t>hinna</w:t>
      </w:r>
      <w:r w:rsidR="00971464">
        <w:rPr>
          <w:rFonts w:eastAsia="Times New Roman"/>
        </w:rPr>
        <w:t>n</w:t>
      </w:r>
      <w:r w:rsidRPr="00971464">
        <w:rPr>
          <w:rFonts w:eastAsia="Times New Roman"/>
        </w:rPr>
        <w:t>gule. Kui turupõhiste elektrijaamade korral on LOLE</w:t>
      </w:r>
      <w:r w:rsidR="00517FAF">
        <w:rPr>
          <w:rFonts w:eastAsia="Times New Roman"/>
        </w:rPr>
        <w:t xml:space="preserve"> </w:t>
      </w:r>
      <w:r w:rsidRPr="00BD2EC6">
        <w:rPr>
          <w:rFonts w:eastAsia="Times New Roman"/>
        </w:rPr>
        <w:t>&gt;</w:t>
      </w:r>
      <w:r w:rsidR="00517FAF">
        <w:rPr>
          <w:rFonts w:eastAsia="Times New Roman"/>
        </w:rPr>
        <w:t xml:space="preserve"> </w:t>
      </w:r>
      <w:r w:rsidRPr="00BD2EC6">
        <w:rPr>
          <w:rFonts w:eastAsia="Times New Roman"/>
        </w:rPr>
        <w:t>9 h, siis lisa</w:t>
      </w:r>
      <w:r w:rsidR="006A6128">
        <w:rPr>
          <w:rFonts w:eastAsia="Times New Roman"/>
        </w:rPr>
        <w:t>takse</w:t>
      </w:r>
      <w:r w:rsidRPr="00BD2EC6">
        <w:rPr>
          <w:rFonts w:eastAsia="Times New Roman"/>
        </w:rPr>
        <w:t xml:space="preserve"> võimsusi juurde ja lei</w:t>
      </w:r>
      <w:r w:rsidR="006A6128">
        <w:rPr>
          <w:rFonts w:eastAsia="Times New Roman"/>
        </w:rPr>
        <w:t>takse</w:t>
      </w:r>
      <w:r w:rsidRPr="00BD2EC6">
        <w:rPr>
          <w:rFonts w:eastAsia="Times New Roman"/>
        </w:rPr>
        <w:t xml:space="preserve"> selle </w:t>
      </w:r>
      <w:r w:rsidR="00A71D03">
        <w:rPr>
          <w:rFonts w:eastAsia="Times New Roman"/>
        </w:rPr>
        <w:t>võimsuse koguse</w:t>
      </w:r>
      <w:r w:rsidRPr="00BD2EC6">
        <w:rPr>
          <w:rFonts w:eastAsia="Times New Roman"/>
        </w:rPr>
        <w:t xml:space="preserve">, </w:t>
      </w:r>
      <w:r w:rsidR="00A71D03">
        <w:rPr>
          <w:rFonts w:eastAsia="Times New Roman"/>
        </w:rPr>
        <w:t>mille korral</w:t>
      </w:r>
      <w:r w:rsidR="00A71D03" w:rsidRPr="00BD2EC6">
        <w:rPr>
          <w:rFonts w:eastAsia="Times New Roman"/>
        </w:rPr>
        <w:t xml:space="preserve"> </w:t>
      </w:r>
      <w:r w:rsidRPr="00BD2EC6">
        <w:rPr>
          <w:rFonts w:eastAsia="Times New Roman"/>
        </w:rPr>
        <w:t xml:space="preserve">lisatav võimsus toob piirangutundide arvu alla 9 h. </w:t>
      </w:r>
      <w:r w:rsidR="009A2616">
        <w:rPr>
          <w:rFonts w:eastAsia="Times New Roman"/>
        </w:rPr>
        <w:t>A</w:t>
      </w:r>
      <w:r w:rsidRPr="00BD2EC6">
        <w:rPr>
          <w:rFonts w:eastAsia="Times New Roman"/>
        </w:rPr>
        <w:t>nalüüs</w:t>
      </w:r>
      <w:r w:rsidR="009A2616">
        <w:rPr>
          <w:rFonts w:eastAsia="Times New Roman"/>
        </w:rPr>
        <w:t>itav lahendus</w:t>
      </w:r>
      <w:r w:rsidRPr="00BD2EC6">
        <w:rPr>
          <w:rFonts w:eastAsia="Times New Roman"/>
        </w:rPr>
        <w:t xml:space="preserve"> peab olema kooskõlas võimsusmehhanismi tehniliste </w:t>
      </w:r>
      <w:r w:rsidR="009A2616">
        <w:rPr>
          <w:rFonts w:eastAsia="Times New Roman"/>
        </w:rPr>
        <w:t xml:space="preserve">ja </w:t>
      </w:r>
      <w:r w:rsidR="009A2616">
        <w:t xml:space="preserve">Euroopa Parlamendi </w:t>
      </w:r>
      <w:r w:rsidR="009A2616" w:rsidRPr="001D5DEC">
        <w:t>ja Nõukogu määrus</w:t>
      </w:r>
      <w:r w:rsidR="009A2616">
        <w:t>es</w:t>
      </w:r>
      <w:r w:rsidR="009A2616" w:rsidRPr="001D5DEC">
        <w:t xml:space="preserve"> (EL) 2019/943</w:t>
      </w:r>
      <w:r w:rsidR="009A2616">
        <w:t xml:space="preserve"> välja toodud </w:t>
      </w:r>
      <w:r w:rsidRPr="00BD2EC6">
        <w:rPr>
          <w:rFonts w:eastAsia="Times New Roman"/>
        </w:rPr>
        <w:t>nõuetega</w:t>
      </w:r>
    </w:p>
    <w:p w14:paraId="599D72EA" w14:textId="107615FF" w:rsidR="00C72430" w:rsidRDefault="00C72430" w:rsidP="00612147">
      <w:pPr>
        <w:pStyle w:val="Heading1"/>
        <w:numPr>
          <w:ilvl w:val="0"/>
          <w:numId w:val="24"/>
        </w:numPr>
        <w:jc w:val="both"/>
      </w:pPr>
      <w:bookmarkStart w:id="8" w:name="_Toc86157130"/>
      <w:r>
        <w:lastRenderedPageBreak/>
        <w:t>Eestile sobiliku võimsusmehhanismi valik</w:t>
      </w:r>
      <w:bookmarkEnd w:id="8"/>
    </w:p>
    <w:p w14:paraId="56DBBBB9" w14:textId="2FC5999B" w:rsidR="00D42238" w:rsidRDefault="00D42238" w:rsidP="00612147">
      <w:pPr>
        <w:jc w:val="both"/>
      </w:pPr>
      <w:r>
        <w:t>Käesolev peatükk annab ülevaate</w:t>
      </w:r>
      <w:r w:rsidR="006A6128">
        <w:t xml:space="preserve">, </w:t>
      </w:r>
      <w:r>
        <w:t xml:space="preserve">milline võimsusmehhanismi tüüp oleks Eestile kõige sobilikum, tulenevalt </w:t>
      </w:r>
      <w:r w:rsidR="00641FCA">
        <w:t xml:space="preserve">süsteemi võimekuse </w:t>
      </w:r>
      <w:r w:rsidR="006A6128">
        <w:t>olukorrast</w:t>
      </w:r>
      <w:r>
        <w:t xml:space="preserve">, </w:t>
      </w:r>
      <w:r w:rsidR="00641FCA">
        <w:t xml:space="preserve">süsteemi võimekuse </w:t>
      </w:r>
      <w:r>
        <w:t>garanteerimise vajadusest ning Euroopa regulatsioonist.</w:t>
      </w:r>
    </w:p>
    <w:p w14:paraId="7240B4DA" w14:textId="77777777" w:rsidR="00D42238" w:rsidRDefault="00D42238" w:rsidP="00612147">
      <w:pPr>
        <w:jc w:val="both"/>
      </w:pPr>
      <w:r>
        <w:t xml:space="preserve">Vastavalt Euroopa Liidu parlamendi määrusele </w:t>
      </w:r>
      <w:r w:rsidR="00A478C4">
        <w:t xml:space="preserve">(EL) </w:t>
      </w:r>
      <w:r>
        <w:t>2019/943:</w:t>
      </w:r>
    </w:p>
    <w:p w14:paraId="3767068F" w14:textId="5A6E68F0" w:rsidR="00D42238" w:rsidRDefault="00D42238" w:rsidP="00612147">
      <w:pPr>
        <w:pStyle w:val="ListParagraph"/>
        <w:numPr>
          <w:ilvl w:val="0"/>
          <w:numId w:val="13"/>
        </w:numPr>
        <w:jc w:val="both"/>
      </w:pPr>
      <w:r>
        <w:t xml:space="preserve">tohib liikmesriik võimsusmehhanismi kehtestada viimase abinõuna, et tagada </w:t>
      </w:r>
      <w:r w:rsidR="00641FCA">
        <w:t xml:space="preserve">süsteemi võimekus </w:t>
      </w:r>
      <w:r>
        <w:t>ja täita varustuskindluse norm</w:t>
      </w:r>
      <w:r w:rsidR="00A96AFF">
        <w:t>;</w:t>
      </w:r>
      <w:r>
        <w:t xml:space="preserve"> </w:t>
      </w:r>
    </w:p>
    <w:p w14:paraId="06735D11" w14:textId="55FF9672" w:rsidR="00D42238" w:rsidRDefault="00D42238" w:rsidP="00612147">
      <w:pPr>
        <w:pStyle w:val="ListParagraph"/>
        <w:numPr>
          <w:ilvl w:val="0"/>
          <w:numId w:val="13"/>
        </w:numPr>
        <w:jc w:val="both"/>
      </w:pPr>
      <w:r>
        <w:t xml:space="preserve">liikmesriik peab hindama kas strateegilise reserviga on võimalik lahendada </w:t>
      </w:r>
      <w:r w:rsidR="00641FCA">
        <w:t xml:space="preserve">süsteemi võimekuse </w:t>
      </w:r>
      <w:r>
        <w:t>probleem ja ainult siis, kui strateegiline reserv seda ei tee, on võimalik kasutusele võtta alternatiivseid võimsusmehhanismi tüüpe</w:t>
      </w:r>
      <w:r w:rsidR="00A96AFF">
        <w:t xml:space="preserve">; </w:t>
      </w:r>
    </w:p>
    <w:p w14:paraId="12C602BC" w14:textId="333764E6" w:rsidR="00D42238" w:rsidRDefault="00D42238" w:rsidP="00612147">
      <w:pPr>
        <w:pStyle w:val="ListParagraph"/>
        <w:numPr>
          <w:ilvl w:val="0"/>
          <w:numId w:val="13"/>
        </w:numPr>
        <w:jc w:val="both"/>
      </w:pPr>
      <w:r>
        <w:t>liikmesriik peab minimeerima võimsusmehhanismi poolt tekitatava turumoonutuse ja piirama selle mõju</w:t>
      </w:r>
      <w:r w:rsidR="00544630">
        <w:t xml:space="preserve"> piiriülesele</w:t>
      </w:r>
      <w:r>
        <w:t xml:space="preserve"> kaubandusele</w:t>
      </w:r>
      <w:r w:rsidR="00A96AFF">
        <w:t xml:space="preserve">; </w:t>
      </w:r>
    </w:p>
    <w:p w14:paraId="5163AA8E" w14:textId="1A8A0631" w:rsidR="00D42238" w:rsidRDefault="00D42238" w:rsidP="00612147">
      <w:pPr>
        <w:pStyle w:val="ListParagraph"/>
        <w:numPr>
          <w:ilvl w:val="0"/>
          <w:numId w:val="13"/>
        </w:numPr>
        <w:jc w:val="both"/>
      </w:pPr>
      <w:r>
        <w:t xml:space="preserve">võimsusmehhanism peab olema ajutine ning selle maht ei tohi ületada </w:t>
      </w:r>
      <w:r w:rsidR="00641FCA">
        <w:t xml:space="preserve">süsteemi võimekuse </w:t>
      </w:r>
      <w:r>
        <w:t>probleemi lahendamiseks vajalik</w:t>
      </w:r>
      <w:r w:rsidR="00F729B5">
        <w:t>k</w:t>
      </w:r>
      <w:r>
        <w:t>u mahtu</w:t>
      </w:r>
      <w:r w:rsidR="00A96AFF">
        <w:t>;</w:t>
      </w:r>
    </w:p>
    <w:p w14:paraId="7792F5A1" w14:textId="3C1C3BD3" w:rsidR="00D42238" w:rsidRDefault="00D42238" w:rsidP="00612147">
      <w:pPr>
        <w:pStyle w:val="ListParagraph"/>
        <w:numPr>
          <w:ilvl w:val="0"/>
          <w:numId w:val="13"/>
        </w:numPr>
        <w:jc w:val="both"/>
      </w:pPr>
      <w:r>
        <w:t xml:space="preserve">võimsusmehhanism peab olema tehnoloogianeutraalne ning peab võimaldama osaleda ka salvestusel ja tarbimise juhtimisel, kui need vastavad </w:t>
      </w:r>
      <w:r w:rsidR="00641FCA">
        <w:t xml:space="preserve">süsteemi võimekuse </w:t>
      </w:r>
      <w:r>
        <w:t>probleemi lahendamiseks vajalike kriteeriumitega.</w:t>
      </w:r>
    </w:p>
    <w:p w14:paraId="5BE61ED8" w14:textId="77ABF6D2" w:rsidR="00D42238" w:rsidRDefault="00D42238" w:rsidP="00612147">
      <w:pPr>
        <w:jc w:val="both"/>
      </w:pPr>
      <w:r>
        <w:t>Eelnevalt nimetatud kriteeriumite alusel analüüsis Eleringi tellimusel Eestile sobiliku võimsusmehhanismi valikut AFRY Management Consulting. Lisaks eelnevale oli Eleringi sooviks, et sobilik võimsusmehhanism oleks lõpptarbijale sotsiaalmajanduslikult halduskulude poolest kõige soodsam ning omaks elektri hinnale minimaalset mõju.</w:t>
      </w:r>
    </w:p>
    <w:p w14:paraId="263A19F7" w14:textId="222FE612" w:rsidR="00D42238" w:rsidRDefault="00D42238" w:rsidP="00612147">
      <w:pPr>
        <w:jc w:val="both"/>
      </w:pPr>
      <w:r>
        <w:t xml:space="preserve">AFRY Management Consulting poolt läbiviidud uuringus võrreldi kvalitatiivselt ja kvantitatiivselt erinevaid võimsusmehhanismi tüüpe, nende sobivust võimaliku </w:t>
      </w:r>
      <w:r w:rsidR="00641FCA">
        <w:t xml:space="preserve">süsteemi võimekuse </w:t>
      </w:r>
      <w:r>
        <w:t>probleemi lahendamiseks Eestis, eri mehhanismi tüüpide eeliseid ja puuduseid, nende mõju ülejäänud turule, sotsiaalmajanduslik</w:t>
      </w:r>
      <w:r w:rsidR="00F729B5">
        <w:t>k</w:t>
      </w:r>
      <w:r>
        <w:t xml:space="preserve">u mõju, kulusid ning vastavust Euroopa Liidu õigusele. </w:t>
      </w:r>
    </w:p>
    <w:p w14:paraId="49FF0694" w14:textId="77777777" w:rsidR="00D31364" w:rsidRPr="00372685" w:rsidRDefault="00D31364" w:rsidP="00612147">
      <w:pPr>
        <w:pStyle w:val="Heading2"/>
        <w:numPr>
          <w:ilvl w:val="1"/>
          <w:numId w:val="24"/>
        </w:numPr>
        <w:jc w:val="both"/>
      </w:pPr>
      <w:bookmarkStart w:id="9" w:name="_Toc86157131"/>
      <w:r w:rsidRPr="00372685">
        <w:t>Erinevad võimsusmehhanismi tüübid</w:t>
      </w:r>
      <w:bookmarkEnd w:id="9"/>
    </w:p>
    <w:p w14:paraId="57AC44E4" w14:textId="77777777" w:rsidR="00D31364" w:rsidRDefault="00D31364" w:rsidP="00612147">
      <w:pPr>
        <w:jc w:val="both"/>
      </w:pPr>
      <w:r>
        <w:t>Üldises plaanis jaotuvad võimsusmehhanismid suunatud ja turuülesteks mehhanismideks, lisaks hinna- ja kogusepõhisteks mehhanismideks. Suunatud mehhanismi korral tehakse võimsuspõhiseid makseid vaid piiratud koguses, mehhanismi kvalifitseerunud võimsustele. Turuülese mehhanismi puhul tehakse võimsusmakseid kõigile turul olevatele võimsustele. Kogusepõhiste võimsusmehhanismide puhul määratakse enne hanke tegemist hangitava võimsuse kogus ning hind kujuneb hanketulemuse põhjal, vastupidiselt hinnapõhisele mehhanismine, kus määratakse hind ning kogus selgub hanke tulemusena.</w:t>
      </w:r>
    </w:p>
    <w:p w14:paraId="06DBB29A" w14:textId="77777777" w:rsidR="00D31364" w:rsidRDefault="00D31364" w:rsidP="00612147">
      <w:pPr>
        <w:jc w:val="both"/>
      </w:pPr>
      <w:r>
        <w:t xml:space="preserve">AFRY uuringus analüüsiti enamkasutatavaid võimusmehhanismi tüüpe, mida võiks ka potentsiaalselt Eesti kontekstis kaaluda. Nendeks on: </w:t>
      </w:r>
    </w:p>
    <w:p w14:paraId="355F7445" w14:textId="77777777" w:rsidR="00D31364" w:rsidRDefault="00D31364" w:rsidP="00612147">
      <w:pPr>
        <w:pStyle w:val="ListParagraph"/>
        <w:numPr>
          <w:ilvl w:val="0"/>
          <w:numId w:val="33"/>
        </w:numPr>
        <w:jc w:val="both"/>
      </w:pPr>
      <w:r>
        <w:t>Strateegiline reserv: Võimsusmehhanismi hanke käigus leitakse piiratud kogus võimsust, kellele tehakse makseid ning mida käivitatakse ainult süsteemihalduri käsul, viimase abinõuna. Strateegilisse reservi kuuluvaid võimsuseid hoitakse lahus ka tavapärasest turust, ehk reservi kuuluvad tootmisvõimsused ei tohi osaleda elektri- ja süsteemiteenuste turgudel.</w:t>
      </w:r>
    </w:p>
    <w:p w14:paraId="29FC48FE" w14:textId="6F26889E" w:rsidR="00D31364" w:rsidRDefault="00D31364" w:rsidP="00612147">
      <w:pPr>
        <w:pStyle w:val="ListParagraph"/>
        <w:numPr>
          <w:ilvl w:val="0"/>
          <w:numId w:val="33"/>
        </w:numPr>
        <w:jc w:val="both"/>
      </w:pPr>
      <w:r>
        <w:t xml:space="preserve">Võimsusturg tootmisvõimsuse optsioonilepingutele: Võimsusmehhanismi hanke käigus ostetakse võimsuse ostuoptsioone, millega tekitatakse elektritootjatele finantskohustus kõrgete elektrihindade korral oma võimsustega elektrit toota. Elektritootjad on hanke käigus müünud ostuoptsioone ja kui optsiooni referentshind ületab optsiooni tehinguhinda, peab </w:t>
      </w:r>
      <w:r>
        <w:lastRenderedPageBreak/>
        <w:t>tootja optsioonide müüdud mahus oma võimsusega elektrit tootma, või olema valmis kompenseerima referents- ja optsiooni tehinguhinna vahet.</w:t>
      </w:r>
    </w:p>
    <w:p w14:paraId="4E890E84" w14:textId="77777777" w:rsidR="00D31364" w:rsidRDefault="00D31364" w:rsidP="00612147">
      <w:pPr>
        <w:pStyle w:val="ListParagraph"/>
        <w:numPr>
          <w:ilvl w:val="0"/>
          <w:numId w:val="33"/>
        </w:numPr>
        <w:jc w:val="both"/>
      </w:pPr>
      <w:r>
        <w:t>Võimsusturg võimsuslepingutele: Sarnane tootmisvõimsuse optsioonilepingute hankimisega mehhanismile, kuid antud juhul on võimsuse olemasolu tagamine füüsiline-, mitte finantskohustus. Võimsusmehhanismis hankes osaleja peab garanteerima enda võimsuse olemasolu ja töötamise hankes määratud perioodil, vastasel juhul rikutakse lepingu tingimusi ning järgnevad sanktsioonid.</w:t>
      </w:r>
    </w:p>
    <w:p w14:paraId="7AFEBA69" w14:textId="77777777" w:rsidR="00D31364" w:rsidRDefault="00D31364" w:rsidP="00612147">
      <w:pPr>
        <w:pStyle w:val="ListParagraph"/>
        <w:numPr>
          <w:ilvl w:val="0"/>
          <w:numId w:val="33"/>
        </w:numPr>
        <w:jc w:val="both"/>
      </w:pPr>
      <w:r>
        <w:t>Detsentraliseeritud võimsuskohustused: Antud võimsusmehhanismi tüüp paneb tootmisvõimsuse garanteerimise kohustuse elektrienergia müüjatele / tarnijatele. Elektrienergia tarnijad peavad ostma enda portfelli tarbimise katmiseks „võimsuse pileteid“. Antud võimsusmehhanismi tüübi korral tekib detsentraalne võimsusturg, kus elektritootjad müüvad ja elektri tarnijad ostavad „võimsuse pileteid“, millega tarnijad enda kohustusi täita saaksid.</w:t>
      </w:r>
    </w:p>
    <w:p w14:paraId="1E02D5E0" w14:textId="53D6425F" w:rsidR="00D42238" w:rsidRDefault="00D31364" w:rsidP="00612147">
      <w:pPr>
        <w:jc w:val="both"/>
      </w:pPr>
      <w:r>
        <w:t>AFRY</w:t>
      </w:r>
      <w:r w:rsidR="00D42238">
        <w:t xml:space="preserve"> Uuringu peamised järeldused olid:</w:t>
      </w:r>
    </w:p>
    <w:p w14:paraId="6DD3AE3E" w14:textId="4D36EE31" w:rsidR="00D42238" w:rsidRDefault="00D42238" w:rsidP="00612147">
      <w:pPr>
        <w:pStyle w:val="ListParagraph"/>
        <w:numPr>
          <w:ilvl w:val="0"/>
          <w:numId w:val="14"/>
        </w:numPr>
        <w:jc w:val="both"/>
      </w:pPr>
      <w:r>
        <w:t>„Tavapärasel“ aastal ei ole võimsusmehhanismil sotsiaalmajanduslik</w:t>
      </w:r>
      <w:r w:rsidR="00F729B5">
        <w:t>k</w:t>
      </w:r>
      <w:r>
        <w:t xml:space="preserve">u kasu – </w:t>
      </w:r>
      <w:r w:rsidR="00641FCA">
        <w:t xml:space="preserve">süsteemi võimekuse </w:t>
      </w:r>
      <w:r>
        <w:t>probleemi mitte esinemisel on võimsusmehhanismi olemasolu sotisaalmajanduslikult ühiskonnale kulu. Võimsusmehhanismist kasu tekib nendel aastatel kui elektriturg ei suuda mingisuguste erakordsete sündmuste tagajärjel tootmisega tarbimist katta. Sellisel juhul tuleb vaadata kas iga-aastaselt makstav võimsusmehhanismi kulu katab ära kahju</w:t>
      </w:r>
      <w:r w:rsidR="00F729B5">
        <w:t>,</w:t>
      </w:r>
      <w:r>
        <w:t xml:space="preserve"> mida taoline erakordne sündmus endaga kaasa tuua võib. </w:t>
      </w:r>
      <w:r w:rsidR="00170D45">
        <w:t xml:space="preserve">Võimsusmehhanism on sotsiaalmajanduslikult </w:t>
      </w:r>
      <w:r w:rsidR="00522C4F">
        <w:t>põhjendatud</w:t>
      </w:r>
      <w:r w:rsidR="00170D45">
        <w:t xml:space="preserve"> kui </w:t>
      </w:r>
      <w:r>
        <w:t>erakordse sündmuse tagajärjel tekkinud andmata jäänud energia tõttu tekkinud kahju on suurem kui ülejäänud aastatel võimsusmehhanismi ülevalpidamise kulu.</w:t>
      </w:r>
    </w:p>
    <w:p w14:paraId="6CD05F61" w14:textId="3771ED7C" w:rsidR="00D42238" w:rsidRDefault="00D42238" w:rsidP="00612147">
      <w:pPr>
        <w:pStyle w:val="ListParagraph"/>
        <w:numPr>
          <w:ilvl w:val="0"/>
          <w:numId w:val="14"/>
        </w:numPr>
        <w:jc w:val="both"/>
      </w:pPr>
      <w:r>
        <w:t>Võimsusmehhanismi sotsiaalmajanduslik kasu on tundlik teis</w:t>
      </w:r>
      <w:r w:rsidR="00F729B5">
        <w:t>t</w:t>
      </w:r>
      <w:r>
        <w:t xml:space="preserve">e riikide tootmisvõimsuste lisandumise suhtes – analüüs näitas, et Eesti võimsusmehhanismi sotsiaalmajanduslik tasuvus sõltub Soome lisanduvast kindlast tootmisvõimsusest. Põhjuseks on elektriturgude tugev korrelatsioon regioonis. Näiteks energia puudujääk Soomes toob endaga kaasa puudujäägi Eestis ning kindla tootmisvõimsuse lisamine Soome aitab kompenseerida tootmisvõimsuse puudujääke Eestis. </w:t>
      </w:r>
    </w:p>
    <w:p w14:paraId="10E80AF2" w14:textId="092178E2" w:rsidR="00D42238" w:rsidRDefault="00D42238" w:rsidP="00612147">
      <w:pPr>
        <w:pStyle w:val="ListParagraph"/>
        <w:numPr>
          <w:ilvl w:val="0"/>
          <w:numId w:val="14"/>
        </w:numPr>
        <w:jc w:val="both"/>
      </w:pPr>
      <w:r>
        <w:t xml:space="preserve">Kõik võrreldud võimsusmehhanismi tüübid vähendasid ootamatu sündmuse tõttu tekkinud </w:t>
      </w:r>
      <w:r w:rsidR="00641FCA">
        <w:t xml:space="preserve">süsteemi võimekuse </w:t>
      </w:r>
      <w:r>
        <w:t>probleeme ja vähendasid kulusid mis tulenesid andmata jäänud energiast, kuid strateegiline reserv võimaldas seda teha elektritarbijatele väiksema kulu eest.</w:t>
      </w:r>
    </w:p>
    <w:p w14:paraId="30F89F63" w14:textId="77777777" w:rsidR="00D42238" w:rsidRDefault="00D42238" w:rsidP="00612147">
      <w:pPr>
        <w:jc w:val="both"/>
      </w:pPr>
      <w:r>
        <w:t xml:space="preserve">AFRY uuringu lõplikku soovitusena toodi välja, et Eestile sobilikuimaks võimsusmehhanismi tüübiks on strateegiline reserv. </w:t>
      </w:r>
    </w:p>
    <w:p w14:paraId="4D0758A7" w14:textId="20939356" w:rsidR="00D42238" w:rsidRDefault="00D42238" w:rsidP="00612147">
      <w:pPr>
        <w:jc w:val="both"/>
      </w:pPr>
      <w:r>
        <w:t>Kõigi uuringus analüüsitud võimsusmehhanismi tüüpide ja detailsemate analüüsi tulemustega on võimalik tutvuda analüüsi lõppraportis mis on kättesaadav Eleringi kodulehel</w:t>
      </w:r>
      <w:r>
        <w:rPr>
          <w:rStyle w:val="FootnoteReference"/>
        </w:rPr>
        <w:footnoteReference w:id="10"/>
      </w:r>
      <w:r>
        <w:t>.</w:t>
      </w:r>
    </w:p>
    <w:p w14:paraId="557BB2BE" w14:textId="77777777" w:rsidR="00D31364" w:rsidRPr="00FE46BC" w:rsidRDefault="00D31364" w:rsidP="00612147">
      <w:pPr>
        <w:pStyle w:val="Heading2"/>
        <w:numPr>
          <w:ilvl w:val="1"/>
          <w:numId w:val="24"/>
        </w:numPr>
        <w:jc w:val="both"/>
      </w:pPr>
      <w:bookmarkStart w:id="10" w:name="_Toc86157132"/>
      <w:r w:rsidRPr="00FE46BC">
        <w:t>Võimsusmehhanismid naaberriikides</w:t>
      </w:r>
      <w:bookmarkEnd w:id="10"/>
    </w:p>
    <w:p w14:paraId="058502DC" w14:textId="77777777" w:rsidR="00D31364" w:rsidRDefault="00D31364" w:rsidP="00612147">
      <w:pPr>
        <w:jc w:val="both"/>
      </w:pPr>
      <w:r>
        <w:t xml:space="preserve">Läänemere regioonis on kehtivad võimsusmehhanismid Soomes, Rootsis, Saksamaal ja Poolas. </w:t>
      </w:r>
    </w:p>
    <w:p w14:paraId="5ACB719C" w14:textId="35723D46" w:rsidR="00D31364" w:rsidRDefault="00D31364" w:rsidP="00612147">
      <w:pPr>
        <w:jc w:val="both"/>
      </w:pPr>
      <w:r>
        <w:t>Saksamaal, Soomes ja Rootsis on võimsusmehhanismid strateegilise reservi kujul. Soome ja Rootsi strateegilised reservid on kasutusel üle kümne aasta ning neid pole väga pikalt aktiveeritud, mõned korrad on lülitatud ooteseisundile.  Kuna need strateegilised reservid on nii pikalt kasutusel olnud, e</w:t>
      </w:r>
      <w:r w:rsidR="0035332B">
        <w:t>i</w:t>
      </w:r>
      <w:r>
        <w:t xml:space="preserve"> </w:t>
      </w:r>
      <w:r>
        <w:lastRenderedPageBreak/>
        <w:t xml:space="preserve">vasta need </w:t>
      </w:r>
      <w:r w:rsidRPr="00E50EE9">
        <w:t>Euroopa Liidu parlamendi määruse</w:t>
      </w:r>
      <w:r>
        <w:t>le</w:t>
      </w:r>
      <w:r w:rsidRPr="00E50EE9">
        <w:t xml:space="preserve"> 2019/943</w:t>
      </w:r>
      <w:r>
        <w:t xml:space="preserve"> ning vajaksid lõppedes uut riigiabiluba. Saksamaa strateegiline reserv sai Euroopa Komisjoni riigiabiloa veebruaris 2018 ning 2019 lõpus korraldati hange täitmisperioodile oktoober 2020 – september 2022.</w:t>
      </w:r>
    </w:p>
    <w:p w14:paraId="49D256A5" w14:textId="77777777" w:rsidR="00D31364" w:rsidRDefault="00D31364" w:rsidP="00612147">
      <w:pPr>
        <w:jc w:val="both"/>
      </w:pPr>
      <w:r>
        <w:t>Poolas oli aastatel 2016 – 2019 strateegiline reserv. 2018 veebruaris saadi riigiabiluba võimsusturule, millele on kuni 2024 aasta täitmisperioodini korraldatud hanked.</w:t>
      </w:r>
    </w:p>
    <w:p w14:paraId="58881F5C" w14:textId="32EAA649" w:rsidR="00D31364" w:rsidRPr="00605BF3" w:rsidRDefault="00D31364" w:rsidP="00612147">
      <w:pPr>
        <w:jc w:val="both"/>
      </w:pPr>
      <w:r>
        <w:t xml:space="preserve">Leedul oli soov luua võimsusmehhanism võimsusturu näol, kuid </w:t>
      </w:r>
      <w:r w:rsidR="00E2707D">
        <w:t>võimsusmehhanismile ei ole seni väljastatud</w:t>
      </w:r>
      <w:r>
        <w:t xml:space="preserve"> riigiabiluba. </w:t>
      </w:r>
    </w:p>
    <w:p w14:paraId="2DE0E7A5" w14:textId="0EFE1419" w:rsidR="00D42238" w:rsidRDefault="00D42238" w:rsidP="00612147">
      <w:pPr>
        <w:pStyle w:val="Heading2"/>
        <w:numPr>
          <w:ilvl w:val="1"/>
          <w:numId w:val="24"/>
        </w:numPr>
        <w:jc w:val="both"/>
      </w:pPr>
      <w:bookmarkStart w:id="11" w:name="_Toc86157133"/>
      <w:r>
        <w:t>Strateegiline reserv</w:t>
      </w:r>
      <w:r w:rsidR="00D31364">
        <w:t>i sobivus Eestile</w:t>
      </w:r>
      <w:bookmarkEnd w:id="11"/>
    </w:p>
    <w:p w14:paraId="28236AC7" w14:textId="64273D35" w:rsidR="00D42238" w:rsidRDefault="00D42238" w:rsidP="00612147">
      <w:pPr>
        <w:jc w:val="both"/>
      </w:pPr>
      <w:r>
        <w:t xml:space="preserve">Kuna Eesti </w:t>
      </w:r>
      <w:r w:rsidR="00641FCA">
        <w:t xml:space="preserve">süsteemi võimekuse </w:t>
      </w:r>
      <w:r>
        <w:t xml:space="preserve">probleem võib seisneda peamiselt erakordsete sündmuste tagajärjel tekkinud olukorrale, kus tiputarbimisega periood on kokku sattunud madala kohaliku toodangu ja mitteplaaniliste erakordsete sündmustega elektrivõrgus, mis ei võimalda elektrit teistest elektrisüsteemidest importida. Sellisel juhul tuleks keskenduda nimetatud olukorraks vajaliku võimsusvaru hindamisega, mitte hankida turuülest võimsust, mis kataks tiputarbimist pidevalt. Taolise potentsiaalse probleemi lahendamiseks sobib, nagu kinnitas ka AFRY uuring, kõige paremini </w:t>
      </w:r>
      <w:r w:rsidR="00942CA3">
        <w:t>s</w:t>
      </w:r>
      <w:r>
        <w:t>trateegiline reserv.</w:t>
      </w:r>
    </w:p>
    <w:p w14:paraId="0BC9AA17" w14:textId="27C2D56F" w:rsidR="00D31364" w:rsidRDefault="00D42238" w:rsidP="00612147">
      <w:pPr>
        <w:jc w:val="both"/>
      </w:pPr>
      <w:r>
        <w:t>Strateegili</w:t>
      </w:r>
      <w:r w:rsidR="00942CA3">
        <w:t>seks</w:t>
      </w:r>
      <w:r>
        <w:t xml:space="preserve"> reserviks nimetatakse võimsusmehhanismi tüüpi kus etteantud tingimustel hangitakse piiratud ajaks elektri tootmisvõimsust (või tarbimise alla koormamise võimekust), mis eraldatakse ülejäänud elektriturult.</w:t>
      </w:r>
      <w:r w:rsidR="00877698">
        <w:t xml:space="preserve"> Tulenevalt sellest, et võimsus ei osale elektriturul, ei oma strateegiline reserv mõju elektrituru hinnatekkele. Strateegiline reservi käivitamisel jääb elektrituru hinnaks seesama hind, mis oleks tekkinud ilma strateegilise reservita.</w:t>
      </w:r>
      <w:r>
        <w:t xml:space="preserve"> Strateegiline reserv käivitatakse ainult erakordsetel juhtudel kui elektrisüsteemis tekib reaalne oht, et turuvahenditega ei ole võimalik tarbimist ja süsteemi töökindluseks vajalike reserve tagada.</w:t>
      </w:r>
      <w:r w:rsidR="00D31364">
        <w:t xml:space="preserve"> Strateegiline reserv on oma olemuselt ja kvalifitseerumistingimustelt mingile kindlale </w:t>
      </w:r>
      <w:r w:rsidR="00641FCA">
        <w:t xml:space="preserve">süsteemi võimekuse </w:t>
      </w:r>
      <w:r w:rsidR="00D31364">
        <w:t>probleemile suunatud mehhanism, mis aitab selle mehhanismi haldamiseks vajalikud kulud hoida soodsamad kui turuülese võimsusmehhanismi puhul.</w:t>
      </w:r>
    </w:p>
    <w:p w14:paraId="4F5DC82E" w14:textId="63DA0BBE" w:rsidR="00D31364" w:rsidRDefault="00D31364" w:rsidP="00612147">
      <w:pPr>
        <w:jc w:val="both"/>
      </w:pPr>
      <w:r w:rsidRPr="00B3289C">
        <w:t>Teiste võimsusmehhanismi tüüpide suureks puuduseks on, et need osalevad pidevalt ka teistel elektriturgudel ning võimsusmehhanismi maksete saamine moonutab normaalset turuhinda ja konkurentsi elektriturul.</w:t>
      </w:r>
      <w:r>
        <w:t xml:space="preserve"> Turuülese võimsusmehhanismi poolt tekitatud turumoonutused võivad omakorda takistada uute turupõhiste tootmisvõimsuste rajamist ning kiirendada teiste, võimsusmehhanismi makseid mittesaavate, võimsuste sulgemist, sealhulgas naaberriikides.</w:t>
      </w:r>
    </w:p>
    <w:p w14:paraId="71C412DB" w14:textId="4B243734" w:rsidR="00D42238" w:rsidRDefault="00D31364" w:rsidP="00612147">
      <w:pPr>
        <w:jc w:val="both"/>
      </w:pPr>
      <w:r>
        <w:t xml:space="preserve">Euroopa Parlamendi elektrituru määruse kohaselt peab liikmesriik analüüsima kas võimsusmehhanism strateegilise reservi kujul lahendaks liikmesriigi </w:t>
      </w:r>
      <w:r w:rsidR="00641FCA">
        <w:t xml:space="preserve">süsteemi võimekuse </w:t>
      </w:r>
      <w:r>
        <w:t xml:space="preserve">probleemi </w:t>
      </w:r>
      <w:r w:rsidRPr="00E56304">
        <w:t>ja ainult siis, kui strateegiline reserv seda ei tee, on võimalik kasutusele võtta alternatiivseid võimsusmehhanismi tüüpe</w:t>
      </w:r>
      <w:r>
        <w:t xml:space="preserve">. Eesti puhul ei ole hetkel alust arvata, et strateegilise reservi loomisest ei piisaks </w:t>
      </w:r>
      <w:r w:rsidR="00641FCA">
        <w:t xml:space="preserve">süsteemi võimekuse </w:t>
      </w:r>
      <w:r>
        <w:t>probleemi lahendamiseks.</w:t>
      </w:r>
    </w:p>
    <w:p w14:paraId="0A144F1A" w14:textId="19239AAB" w:rsidR="00D42238" w:rsidRDefault="00D42238" w:rsidP="00612147">
      <w:pPr>
        <w:jc w:val="both"/>
      </w:pPr>
      <w:r>
        <w:t>Strateegilist reservi nähakse ka Euroopa Komisjoni poolt kõige vähem vabaturgu mõjutavana, seega sobitub see kõige paremini nende nõudmiste ja reeglitega, eeldusel, et kindel vajadus taolise turusekkumise jaoks on olemas.</w:t>
      </w:r>
    </w:p>
    <w:p w14:paraId="1A1469D0" w14:textId="777BDF0F" w:rsidR="003D4A33" w:rsidRDefault="003D4A33" w:rsidP="00612147">
      <w:pPr>
        <w:pStyle w:val="Heading2"/>
        <w:jc w:val="both"/>
      </w:pPr>
      <w:bookmarkStart w:id="12" w:name="_Toc86157134"/>
      <w:r>
        <w:t>3.4 Võimsusmehhanismi mõju naaberriikidele</w:t>
      </w:r>
      <w:bookmarkEnd w:id="12"/>
    </w:p>
    <w:p w14:paraId="114515F3" w14:textId="6EFA0F84" w:rsidR="003D4A33" w:rsidRDefault="003D4A33" w:rsidP="00612147">
      <w:pPr>
        <w:jc w:val="both"/>
      </w:pPr>
      <w:r>
        <w:t xml:space="preserve">Vastavalt </w:t>
      </w:r>
      <w:r w:rsidRPr="000455CD">
        <w:t>Euroopa Liidu parlamendi määruse 2019/943</w:t>
      </w:r>
      <w:r>
        <w:t xml:space="preserve"> artikkel 21 (2) peab liikmesriik läbi viima analüüsi näitamaks plaanitava võimsusmehhanismi rakendamise mõju naaberriikidele. Liikmesriik peab konsulteerima vähemalt nende liikmesriikide ja nende liikmesriikide turuosalistega</w:t>
      </w:r>
      <w:r w:rsidR="00E2707D">
        <w:t>,</w:t>
      </w:r>
      <w:r>
        <w:t xml:space="preserve"> kellega neil on otsene võrguühendus.</w:t>
      </w:r>
    </w:p>
    <w:p w14:paraId="2267B816" w14:textId="4EB9A00B" w:rsidR="003D4A33" w:rsidRPr="00950A75" w:rsidRDefault="003D4A33" w:rsidP="00612147">
      <w:pPr>
        <w:jc w:val="both"/>
      </w:pPr>
      <w:r>
        <w:lastRenderedPageBreak/>
        <w:t>Antud määruse nõude täitmiseks on võimalik läbi viia elektrituru modelleerimine ja võimsusmehhanismi mõju analüüs. Strateegili</w:t>
      </w:r>
      <w:r w:rsidR="006A6128">
        <w:t>ne</w:t>
      </w:r>
      <w:r>
        <w:t xml:space="preserve"> reserv käivitatakse vaid äärmuslikes tingimuste</w:t>
      </w:r>
      <w:r w:rsidR="006A6128">
        <w:t>s kui</w:t>
      </w:r>
      <w:r>
        <w:t xml:space="preserve"> bilansituru </w:t>
      </w:r>
      <w:r w:rsidR="006A6128">
        <w:t>ressursid on</w:t>
      </w:r>
      <w:r>
        <w:t xml:space="preserve"> lõppe</w:t>
      </w:r>
      <w:r w:rsidR="006A6128">
        <w:t>nud.</w:t>
      </w:r>
      <w:r>
        <w:t xml:space="preserve"> </w:t>
      </w:r>
      <w:r w:rsidR="006A6128">
        <w:t>Strateegilise</w:t>
      </w:r>
      <w:r w:rsidR="008B49E1">
        <w:t xml:space="preserve"> reservi</w:t>
      </w:r>
      <w:r w:rsidR="006A6128">
        <w:t xml:space="preserve"> käivitamisel </w:t>
      </w:r>
      <w:r w:rsidR="008B49E1">
        <w:t>on bilansienergia</w:t>
      </w:r>
      <w:r>
        <w:t xml:space="preserve"> hinnastatud </w:t>
      </w:r>
      <w:r w:rsidR="00810EE4">
        <w:t xml:space="preserve">vastavalt bilansiturul kehtivatele reeglitele kas bilansituru maksimaalse hinnaga (antud hetkel kehtiv </w:t>
      </w:r>
      <w:r w:rsidR="002558E5">
        <w:t xml:space="preserve">Baltikumi bilansituru </w:t>
      </w:r>
      <w:r w:rsidR="00810EE4">
        <w:t xml:space="preserve">COBA lahendus) või </w:t>
      </w:r>
      <w:r>
        <w:t>vähemalt andmata jäänud energia hinna</w:t>
      </w:r>
      <w:r w:rsidR="00170D45">
        <w:t xml:space="preserve"> </w:t>
      </w:r>
      <w:r>
        <w:t>või päevasisese elektrituru maksimum hinna</w:t>
      </w:r>
      <w:r w:rsidR="008B49E1">
        <w:t>st kõrgem</w:t>
      </w:r>
      <w:r w:rsidR="00810EE4">
        <w:t>a hinnaga (võimalikud lahendused tulevikus kui Baltikum on liitunud üle-euroop</w:t>
      </w:r>
      <w:r w:rsidR="002558E5">
        <w:t>a</w:t>
      </w:r>
      <w:r w:rsidR="00810EE4">
        <w:t>lise reservipakkumise lahendusega (MARI platvormil)</w:t>
      </w:r>
      <w:r w:rsidR="003C4FD1">
        <w:t>).</w:t>
      </w:r>
      <w:r>
        <w:t xml:space="preserve"> </w:t>
      </w:r>
      <w:r w:rsidR="00810EE4">
        <w:t xml:space="preserve">Päev-ette turu hind võib ka sellisel juhul olla </w:t>
      </w:r>
      <w:r w:rsidR="002558E5">
        <w:t xml:space="preserve">suure tõenäosusega </w:t>
      </w:r>
      <w:r w:rsidR="007209E2">
        <w:t>juba</w:t>
      </w:r>
      <w:r w:rsidR="002558E5">
        <w:t xml:space="preserve"> </w:t>
      </w:r>
      <w:r w:rsidR="00810EE4">
        <w:t>maksimaalne, kui võimsuse puudujääk on tekkinud juba päev-ette turul.</w:t>
      </w:r>
    </w:p>
    <w:p w14:paraId="66ED60E6" w14:textId="77777777" w:rsidR="00124486" w:rsidRDefault="00124486" w:rsidP="00612147">
      <w:pPr>
        <w:jc w:val="both"/>
      </w:pPr>
    </w:p>
    <w:p w14:paraId="2199F6F0" w14:textId="77777777" w:rsidR="00D31364" w:rsidRPr="00296262" w:rsidRDefault="00D31364" w:rsidP="00612147">
      <w:pPr>
        <w:jc w:val="both"/>
      </w:pPr>
    </w:p>
    <w:p w14:paraId="153BC9D1" w14:textId="7C8E096C" w:rsidR="00226F13" w:rsidRPr="00226F13" w:rsidRDefault="00226F13" w:rsidP="00612147">
      <w:pPr>
        <w:pStyle w:val="Heading1"/>
        <w:numPr>
          <w:ilvl w:val="0"/>
          <w:numId w:val="24"/>
        </w:numPr>
        <w:jc w:val="both"/>
      </w:pPr>
      <w:bookmarkStart w:id="13" w:name="_Toc86157135"/>
      <w:r>
        <w:lastRenderedPageBreak/>
        <w:t>Nõuded võimsusepakkujatele</w:t>
      </w:r>
      <w:bookmarkEnd w:id="13"/>
    </w:p>
    <w:p w14:paraId="7D0A3DC1" w14:textId="68DDDF39" w:rsidR="002F5E72" w:rsidRPr="002F5E72" w:rsidRDefault="002F5E72" w:rsidP="00612147">
      <w:pPr>
        <w:jc w:val="both"/>
      </w:pPr>
      <w:r>
        <w:t xml:space="preserve">Käesolevas peatükis käsitletakse tehnilisi ja majanduslikke </w:t>
      </w:r>
      <w:r w:rsidR="00226F13">
        <w:t>nõudeid</w:t>
      </w:r>
      <w:r>
        <w:t xml:space="preserve"> millele peab reservvõimsust pakkuv ressurss vastama, et osaleda strateegilise reservi vähempakkumises. Nimetatud tehnilised ja majanduslikud nõuded tulenevad Euroopa Liidu seadusandlusest, avalikustatud metoodikatest, elektrisüsteemi tehnilistest nõuetest ja vajadustest ning eelnevalt sooritatud analüüsidest.</w:t>
      </w:r>
    </w:p>
    <w:p w14:paraId="48ACFF83" w14:textId="41678E95" w:rsidR="00315A01" w:rsidRDefault="00C72430" w:rsidP="00612147">
      <w:pPr>
        <w:jc w:val="both"/>
      </w:pPr>
      <w:r>
        <w:t xml:space="preserve">Vastavalt Euroopa Liidu seadusandlusele peab </w:t>
      </w:r>
      <w:r w:rsidR="00734918">
        <w:t xml:space="preserve">hangitava </w:t>
      </w:r>
      <w:r>
        <w:t xml:space="preserve">võimsus vastama nõuetele, mis on sätestatud </w:t>
      </w:r>
      <w:r w:rsidR="0086186C">
        <w:t xml:space="preserve">Euroopa </w:t>
      </w:r>
      <w:r w:rsidR="00F43131">
        <w:t>Parlamendi</w:t>
      </w:r>
      <w:r w:rsidR="0086186C">
        <w:t xml:space="preserve"> määrus</w:t>
      </w:r>
      <w:r w:rsidR="008A7E76">
        <w:t>es</w:t>
      </w:r>
      <w:r>
        <w:t xml:space="preserve"> 2019/943</w:t>
      </w:r>
      <w:r w:rsidR="008A7E76">
        <w:t xml:space="preserve">. </w:t>
      </w:r>
      <w:r w:rsidR="00315A01">
        <w:t xml:space="preserve">Määrus käsitleb nii üldiseid nõudeid võimsusmehhanismis osalevatele elektrijaamadele kui ka täpsemalt strateegilise reservi rakendamise puhul rakenduvaid nõudeid. Kõik vastavad nõuded </w:t>
      </w:r>
      <w:r w:rsidR="00362E9C">
        <w:t>on otsekohalduvad</w:t>
      </w:r>
      <w:r w:rsidR="00315A01">
        <w:t xml:space="preserve"> Eesti</w:t>
      </w:r>
      <w:r w:rsidR="00225B38">
        <w:t xml:space="preserve"> õiguses ja seega kehtivad igasuguse Eestis </w:t>
      </w:r>
      <w:r w:rsidR="00315A01">
        <w:t>rakendatava võimsusmehhanismi puhul</w:t>
      </w:r>
      <w:r w:rsidR="00225B38">
        <w:t>.</w:t>
      </w:r>
    </w:p>
    <w:p w14:paraId="1980618E" w14:textId="37019984" w:rsidR="008A7E76" w:rsidRDefault="008A7E76" w:rsidP="00612147">
      <w:pPr>
        <w:jc w:val="both"/>
      </w:pPr>
      <w:r>
        <w:t xml:space="preserve">Täiendavalt on nimetatud määruses välja toodud kasvuhoonegaaside heitmete piirmäärade arvutamise soovitusliku metoodika avaldanud ka </w:t>
      </w:r>
      <w:r w:rsidR="00207215">
        <w:t xml:space="preserve">Euroopa </w:t>
      </w:r>
      <w:r>
        <w:t xml:space="preserve">regulaatorite ühendus ACER, mis on aluseks võetud ka kasvuhoonegaaside heitkoguste arvutamisel Eesti võimsusmehhanismi vähempakkumise reeglistiku jaoks. </w:t>
      </w:r>
      <w:r>
        <w:rPr>
          <w:rStyle w:val="FootnoteReference"/>
        </w:rPr>
        <w:footnoteReference w:id="11"/>
      </w:r>
    </w:p>
    <w:p w14:paraId="6502099F" w14:textId="1E0ACB53" w:rsidR="00C72430" w:rsidRPr="002F5E72" w:rsidRDefault="00C72430" w:rsidP="00612147">
      <w:pPr>
        <w:pStyle w:val="Heading2"/>
        <w:numPr>
          <w:ilvl w:val="1"/>
          <w:numId w:val="24"/>
        </w:numPr>
        <w:jc w:val="both"/>
      </w:pPr>
      <w:bookmarkStart w:id="14" w:name="_Toc86157136"/>
      <w:r w:rsidRPr="002F5E72">
        <w:t>Üldised nõuded</w:t>
      </w:r>
      <w:bookmarkEnd w:id="14"/>
    </w:p>
    <w:p w14:paraId="37173C45" w14:textId="4F5CA94A" w:rsidR="005A6A58" w:rsidRDefault="005A6A58" w:rsidP="00612147">
      <w:pPr>
        <w:jc w:val="both"/>
      </w:pPr>
      <w:r>
        <w:t xml:space="preserve">Vastavalt Euroopa Liidu </w:t>
      </w:r>
      <w:r w:rsidR="00315A01">
        <w:t>määruse</w:t>
      </w:r>
      <w:r>
        <w:t xml:space="preserve"> 2019/943</w:t>
      </w:r>
      <w:r w:rsidR="00007416">
        <w:t xml:space="preserve"> artiklile 22 </w:t>
      </w:r>
      <w:r>
        <w:t xml:space="preserve"> on kasutatavale võimsusmehhanismile seatud üldisemaid nõuded ning täpsustatud nõudeid iga potentsiaalselt rakendatava mehhanismi </w:t>
      </w:r>
      <w:r w:rsidR="00226F13">
        <w:t xml:space="preserve">tüübi </w:t>
      </w:r>
      <w:r>
        <w:t xml:space="preserve">jaoks. </w:t>
      </w:r>
      <w:r w:rsidR="00334C45">
        <w:t xml:space="preserve">Võimsusmehhanismi hankimise vähempakkumisel saavad osaleda kõik elektrienergia tootjad, salvestid ning ka elektrienergia tarbimine läbi tarbimise juhtimise meetmete, mis täidavad alltoodud nõudeid. </w:t>
      </w:r>
      <w:r w:rsidR="004D2570">
        <w:t xml:space="preserve">Nõuete eesmärk on tagada läbipaistvus, turupõhisus, otsuste tegemine läbi konkurentsipõhiste protsesside ning igasuguste lisanduvate turumoonutuste minimeerimine. Täpsemalt </w:t>
      </w:r>
      <w:r w:rsidR="00315A01">
        <w:t>peavad kõik</w:t>
      </w:r>
      <w:r>
        <w:t xml:space="preserve"> võimsusmehhanism</w:t>
      </w:r>
      <w:r w:rsidR="00315A01">
        <w:t>id, hoolimata nende liigist</w:t>
      </w:r>
      <w:r w:rsidR="003A30CD">
        <w:t>,</w:t>
      </w:r>
      <w:r>
        <w:t xml:space="preserve"> vastama järgnevatele tingimustele</w:t>
      </w:r>
      <w:r w:rsidR="00007416">
        <w:t xml:space="preserve"> (artikkel 22 lõige 1)</w:t>
      </w:r>
      <w:r>
        <w:t>:</w:t>
      </w:r>
    </w:p>
    <w:p w14:paraId="532ED640" w14:textId="53F67634" w:rsidR="005A6A58" w:rsidRDefault="001135DC" w:rsidP="00612147">
      <w:pPr>
        <w:pStyle w:val="ListParagraph"/>
        <w:numPr>
          <w:ilvl w:val="0"/>
          <w:numId w:val="6"/>
        </w:numPr>
        <w:jc w:val="both"/>
      </w:pPr>
      <w:r>
        <w:t>On ajutine</w:t>
      </w:r>
      <w:r w:rsidR="005A6A58">
        <w:t>;</w:t>
      </w:r>
    </w:p>
    <w:p w14:paraId="26089C99" w14:textId="262839E6" w:rsidR="005A6A58" w:rsidRDefault="001135DC" w:rsidP="00612147">
      <w:pPr>
        <w:pStyle w:val="ListParagraph"/>
        <w:numPr>
          <w:ilvl w:val="0"/>
          <w:numId w:val="6"/>
        </w:numPr>
        <w:jc w:val="both"/>
      </w:pPr>
      <w:r w:rsidRPr="001135DC">
        <w:t xml:space="preserve">ei tekita tarbetuid turumoonutusi ega piira </w:t>
      </w:r>
      <w:r w:rsidR="006E6C2E">
        <w:t xml:space="preserve">hinnapiirkondade vahelist </w:t>
      </w:r>
      <w:r w:rsidRPr="001135DC">
        <w:t>kauplemist;</w:t>
      </w:r>
    </w:p>
    <w:p w14:paraId="299BD725" w14:textId="0C7FB35C" w:rsidR="005A6A58" w:rsidRDefault="001135DC" w:rsidP="00612147">
      <w:pPr>
        <w:pStyle w:val="ListParagraph"/>
        <w:numPr>
          <w:ilvl w:val="0"/>
          <w:numId w:val="6"/>
        </w:numPr>
        <w:jc w:val="both"/>
      </w:pPr>
      <w:r w:rsidRPr="001135DC">
        <w:t xml:space="preserve">ei ole ulatuslikum, kui on vaja </w:t>
      </w:r>
      <w:r>
        <w:t>tootmispiisavuse</w:t>
      </w:r>
      <w:r w:rsidRPr="001135DC">
        <w:t xml:space="preserve"> probleemi lahendamiseks;</w:t>
      </w:r>
    </w:p>
    <w:p w14:paraId="3A520084" w14:textId="77777777" w:rsidR="001135DC" w:rsidRDefault="001135DC" w:rsidP="00612147">
      <w:pPr>
        <w:pStyle w:val="ListParagraph"/>
        <w:numPr>
          <w:ilvl w:val="0"/>
          <w:numId w:val="6"/>
        </w:numPr>
        <w:jc w:val="both"/>
      </w:pPr>
      <w:r w:rsidRPr="001135DC">
        <w:t>valib võimsusepakkujad läbipaistva, mittediskrimineeriva ja konkurentsipõhise protsessi abil</w:t>
      </w:r>
      <w:r>
        <w:t>;</w:t>
      </w:r>
    </w:p>
    <w:p w14:paraId="0C7FF330" w14:textId="2A902DBA" w:rsidR="001135DC" w:rsidRDefault="001135DC" w:rsidP="00612147">
      <w:pPr>
        <w:pStyle w:val="ListParagraph"/>
        <w:numPr>
          <w:ilvl w:val="0"/>
          <w:numId w:val="6"/>
        </w:numPr>
        <w:jc w:val="both"/>
      </w:pPr>
      <w:r w:rsidRPr="001135DC">
        <w:t xml:space="preserve">loob võimsusepakkujatele </w:t>
      </w:r>
      <w:r w:rsidR="00AD5EF1">
        <w:t xml:space="preserve">vastavaid </w:t>
      </w:r>
      <w:r w:rsidRPr="001135DC">
        <w:t xml:space="preserve">stiimuleid, et need oleksid eeldatava </w:t>
      </w:r>
      <w:r w:rsidR="00641FCA" w:rsidRPr="001135DC">
        <w:t>süsteemi</w:t>
      </w:r>
      <w:r w:rsidR="00641FCA">
        <w:t xml:space="preserve"> võimekuse </w:t>
      </w:r>
      <w:r w:rsidR="00226F13">
        <w:t>probleemi</w:t>
      </w:r>
      <w:r w:rsidRPr="001135DC">
        <w:t xml:space="preserve"> korral kättesaadavad;</w:t>
      </w:r>
    </w:p>
    <w:p w14:paraId="0C21811D" w14:textId="0DFCF377" w:rsidR="00E36A66" w:rsidRDefault="001135DC" w:rsidP="00612147">
      <w:pPr>
        <w:pStyle w:val="ListParagraph"/>
        <w:numPr>
          <w:ilvl w:val="0"/>
          <w:numId w:val="6"/>
        </w:numPr>
        <w:jc w:val="both"/>
      </w:pPr>
      <w:r w:rsidRPr="001135DC">
        <w:t>tagab, et tasu määratakse kindlaks konkurentsipõhise protsessi kaudu</w:t>
      </w:r>
      <w:r w:rsidR="00E36A66">
        <w:t>;</w:t>
      </w:r>
    </w:p>
    <w:p w14:paraId="21A2C4D1" w14:textId="2C73317F" w:rsidR="00E36A66" w:rsidRDefault="001135DC" w:rsidP="00612147">
      <w:pPr>
        <w:pStyle w:val="ListParagraph"/>
        <w:numPr>
          <w:ilvl w:val="0"/>
          <w:numId w:val="6"/>
        </w:numPr>
        <w:jc w:val="both"/>
      </w:pPr>
      <w:r w:rsidRPr="001135DC">
        <w:t>kehtestab enne valikuprotsessi alustamist võimsusepakkujate osalemiseks tehnilised tingimused</w:t>
      </w:r>
      <w:r w:rsidR="00E36A66">
        <w:t>;</w:t>
      </w:r>
    </w:p>
    <w:p w14:paraId="5FD0DA10" w14:textId="54BC3785" w:rsidR="001135DC" w:rsidRDefault="001135DC" w:rsidP="00612147">
      <w:pPr>
        <w:pStyle w:val="ListParagraph"/>
        <w:numPr>
          <w:ilvl w:val="0"/>
          <w:numId w:val="6"/>
        </w:numPr>
        <w:jc w:val="both"/>
      </w:pPr>
      <w:r w:rsidRPr="001135DC">
        <w:t xml:space="preserve">on avatud kõigi ressursside osalemiseks, sealhulgas salvestamine ja </w:t>
      </w:r>
      <w:r w:rsidR="006E6C2E">
        <w:t>tarbimise</w:t>
      </w:r>
      <w:r w:rsidRPr="001135DC">
        <w:t xml:space="preserve"> juhtimine, mis suudavad pakkuda nõutud tehnilist taset;</w:t>
      </w:r>
    </w:p>
    <w:p w14:paraId="160819A6" w14:textId="78370764" w:rsidR="00E36A66" w:rsidRDefault="001135DC" w:rsidP="00612147">
      <w:pPr>
        <w:pStyle w:val="ListParagraph"/>
        <w:numPr>
          <w:ilvl w:val="0"/>
          <w:numId w:val="6"/>
        </w:numPr>
        <w:jc w:val="both"/>
      </w:pPr>
      <w:r w:rsidRPr="001135DC">
        <w:t xml:space="preserve">kohaldab asjakohaseid karistusi võimsusepakkujatele, kes ei ole </w:t>
      </w:r>
      <w:r w:rsidR="00641FCA">
        <w:t xml:space="preserve">süsteemi võimekuse </w:t>
      </w:r>
      <w:r w:rsidR="00226F13">
        <w:t>probleemi</w:t>
      </w:r>
      <w:r w:rsidRPr="001135DC">
        <w:t xml:space="preserve"> korral kättesaadavad</w:t>
      </w:r>
      <w:r w:rsidR="00E36A66">
        <w:t>.</w:t>
      </w:r>
    </w:p>
    <w:p w14:paraId="50FA928D" w14:textId="0106865A" w:rsidR="00E36A66" w:rsidRDefault="00315A01" w:rsidP="00612147">
      <w:pPr>
        <w:jc w:val="both"/>
      </w:pPr>
      <w:r>
        <w:t xml:space="preserve">Lisaks üldistele nõuetele, mis rakendatava võimsusmehhanismi omadusi määratlevad, on iga võimsusmehhanismi </w:t>
      </w:r>
      <w:r w:rsidR="00207215">
        <w:t xml:space="preserve">liigi </w:t>
      </w:r>
      <w:r>
        <w:t xml:space="preserve">jaoks sätestatud veel arv täpsemaid nõudeid. Kuna Eestis rakendatakse </w:t>
      </w:r>
      <w:r>
        <w:lastRenderedPageBreak/>
        <w:t>võimsusmehhanismi strateegilise reservina, on järgnevalt loetletud ka määruse 2019/943 nõuded strateegilise reservi puhul.</w:t>
      </w:r>
    </w:p>
    <w:p w14:paraId="35F1F625" w14:textId="30D74D68" w:rsidR="00315A01" w:rsidRDefault="00315A01" w:rsidP="00612147">
      <w:pPr>
        <w:jc w:val="both"/>
      </w:pPr>
      <w:r>
        <w:t>Strateegiline reserv vastab järgnevatele nõutele</w:t>
      </w:r>
      <w:r w:rsidR="00810EE4">
        <w:t xml:space="preserve"> (artikkel 22 lõige 2)</w:t>
      </w:r>
      <w:r>
        <w:t>:</w:t>
      </w:r>
    </w:p>
    <w:p w14:paraId="7546DAE4" w14:textId="08055032" w:rsidR="00E36A66" w:rsidRDefault="001135DC" w:rsidP="00612147">
      <w:pPr>
        <w:pStyle w:val="ListParagraph"/>
        <w:numPr>
          <w:ilvl w:val="0"/>
          <w:numId w:val="7"/>
        </w:numPr>
        <w:jc w:val="both"/>
      </w:pPr>
      <w:r w:rsidRPr="001135DC">
        <w:t>kui reservvõimsuse mehhanism on kavandatud strateegilise reservina, jaotatakse strateegilisse reservi kuuluvaid ressursse üksnes juhul, kui põhivõrguettevõtjad ammendavad oma pakkumise ja nõudluse tasakaalustamiseks vajalikud tasakaalustamisressursid;</w:t>
      </w:r>
    </w:p>
    <w:p w14:paraId="2F60A597" w14:textId="16B45D4B" w:rsidR="001135DC" w:rsidRDefault="00C2118E" w:rsidP="00612147">
      <w:pPr>
        <w:pStyle w:val="ListParagraph"/>
        <w:numPr>
          <w:ilvl w:val="0"/>
          <w:numId w:val="7"/>
        </w:numPr>
        <w:jc w:val="both"/>
      </w:pPr>
      <w:r>
        <w:t>bilansi</w:t>
      </w:r>
      <w:r w:rsidR="001135DC" w:rsidRPr="001135DC">
        <w:t xml:space="preserve">arveldusperioodidel, mil strateegilise reservi ressursse edastati, tehakse arveldused seoses turul esineva </w:t>
      </w:r>
      <w:r w:rsidR="00893D5E">
        <w:t>ebabilansiga</w:t>
      </w:r>
      <w:r w:rsidR="001135DC" w:rsidRPr="001135DC">
        <w:t xml:space="preserve"> vähemalt saamata jäänud energia hinna alusel või </w:t>
      </w:r>
      <w:r w:rsidR="00AD5EF1">
        <w:t xml:space="preserve">regulatsiooni 2019/943 </w:t>
      </w:r>
      <w:r w:rsidR="001135DC" w:rsidRPr="001135DC">
        <w:t>artikli 10 lõikes 1 osutatud päevasisesest tehnilisest piirhinnast kõrgema hinna alusel, olenevalt sellest, kumb on kõrgem</w:t>
      </w:r>
      <w:r w:rsidR="001135DC">
        <w:t>;</w:t>
      </w:r>
    </w:p>
    <w:p w14:paraId="1100BEFA" w14:textId="09D71B39" w:rsidR="00F64648" w:rsidRDefault="001135DC" w:rsidP="00612147">
      <w:pPr>
        <w:pStyle w:val="ListParagraph"/>
        <w:numPr>
          <w:ilvl w:val="0"/>
          <w:numId w:val="7"/>
        </w:numPr>
        <w:jc w:val="both"/>
      </w:pPr>
      <w:r w:rsidRPr="001135DC">
        <w:t xml:space="preserve">edastamise järel suunatakse strateegilise reservi väljundvõimsus </w:t>
      </w:r>
      <w:r w:rsidR="006E6C2E">
        <w:t>bilansi</w:t>
      </w:r>
      <w:r w:rsidRPr="001135DC">
        <w:t xml:space="preserve">halduritele </w:t>
      </w:r>
      <w:r w:rsidR="006E6C2E">
        <w:t>bilansi</w:t>
      </w:r>
      <w:r w:rsidRPr="001135DC">
        <w:t>arveldusmehhanismi kaudu</w:t>
      </w:r>
      <w:r w:rsidR="00AC6EA6">
        <w:t>;</w:t>
      </w:r>
    </w:p>
    <w:p w14:paraId="0FDD4DA3" w14:textId="5930A6F6" w:rsidR="001135DC" w:rsidRDefault="001135DC" w:rsidP="00612147">
      <w:pPr>
        <w:pStyle w:val="ListParagraph"/>
        <w:numPr>
          <w:ilvl w:val="0"/>
          <w:numId w:val="7"/>
        </w:numPr>
        <w:jc w:val="both"/>
      </w:pPr>
      <w:r w:rsidRPr="001135DC">
        <w:t xml:space="preserve">strateegilises reservis osalevaid ressursse ei hüvitata elektri hulgimüügiturul ega </w:t>
      </w:r>
      <w:r w:rsidR="006E6C2E">
        <w:t>bilansi</w:t>
      </w:r>
      <w:r w:rsidRPr="001135DC">
        <w:t>turul</w:t>
      </w:r>
      <w:r>
        <w:t>;</w:t>
      </w:r>
    </w:p>
    <w:p w14:paraId="73D20287" w14:textId="7D2A65FC" w:rsidR="00AC6EA6" w:rsidRDefault="001135DC" w:rsidP="00612147">
      <w:pPr>
        <w:pStyle w:val="ListParagraph"/>
        <w:numPr>
          <w:ilvl w:val="0"/>
          <w:numId w:val="7"/>
        </w:numPr>
        <w:jc w:val="both"/>
      </w:pPr>
      <w:r w:rsidRPr="001135DC">
        <w:t>strateegilisse reservi kuuluvaid ressursse hoitakse vähemalt lepinguperioodi vältel väljaspool turgu</w:t>
      </w:r>
      <w:r w:rsidR="00AC6EA6">
        <w:t>.</w:t>
      </w:r>
    </w:p>
    <w:p w14:paraId="5E97726D" w14:textId="7AF9F287" w:rsidR="00A81A5F" w:rsidRDefault="00E36104" w:rsidP="00612147">
      <w:pPr>
        <w:jc w:val="both"/>
      </w:pPr>
      <w:r>
        <w:t>Strateegilise</w:t>
      </w:r>
      <w:r w:rsidR="00A81A5F">
        <w:t xml:space="preserve"> reservi </w:t>
      </w:r>
      <w:r w:rsidR="00F02E32">
        <w:t>mehhanismis osalevatel võimsuspakkujatel</w:t>
      </w:r>
      <w:r>
        <w:t xml:space="preserve">, kes on </w:t>
      </w:r>
      <w:r w:rsidR="00DA722D">
        <w:t xml:space="preserve">aktiveerimise hetkel </w:t>
      </w:r>
      <w:r>
        <w:t>netotootjad, on</w:t>
      </w:r>
      <w:r w:rsidR="00F02E32">
        <w:t xml:space="preserve"> keelatud elektrienergiat osta ja müüja kahepoolsete lepingutega, välja arvatud juhul kui lepingu vastaspool osaleb samuti ühiselt strateegilise reservi vähempakkumises ühispakkumise näol.</w:t>
      </w:r>
    </w:p>
    <w:p w14:paraId="7A7A1F38" w14:textId="7CE38FD3" w:rsidR="00602095" w:rsidRDefault="00602095" w:rsidP="00612147">
      <w:pPr>
        <w:jc w:val="both"/>
      </w:pPr>
      <w:r>
        <w:t>Strateegilise reservi mehhanismis osalevatel elektrienergia netotootjatel</w:t>
      </w:r>
      <w:r w:rsidR="00A81A5F">
        <w:t>, mis võimsusmehhanismi vähempakkumise toimumise ajal</w:t>
      </w:r>
      <w:r>
        <w:t xml:space="preserve"> </w:t>
      </w:r>
      <w:r w:rsidR="0057047F">
        <w:t>juba füüsiliselt eksisteerivad tootmisvõimelisel kujul</w:t>
      </w:r>
      <w:r w:rsidR="00A81A5F">
        <w:t xml:space="preserve">, </w:t>
      </w:r>
      <w:r>
        <w:t xml:space="preserve">on alates võimsusmehhanismis osalemist </w:t>
      </w:r>
      <w:r w:rsidR="008E3C18">
        <w:t xml:space="preserve">tähtajatult </w:t>
      </w:r>
      <w:r>
        <w:t xml:space="preserve">keelatud </w:t>
      </w:r>
      <w:r w:rsidR="008E3C18">
        <w:t xml:space="preserve">osaleda </w:t>
      </w:r>
      <w:r>
        <w:t>päev-ette ja reserviturgudel.</w:t>
      </w:r>
    </w:p>
    <w:p w14:paraId="508DA1BC" w14:textId="30AA834F" w:rsidR="00C72430" w:rsidRDefault="00315A01" w:rsidP="00612147">
      <w:pPr>
        <w:pStyle w:val="Heading2"/>
        <w:numPr>
          <w:ilvl w:val="1"/>
          <w:numId w:val="24"/>
        </w:numPr>
        <w:jc w:val="both"/>
      </w:pPr>
      <w:bookmarkStart w:id="15" w:name="_Toc86157137"/>
      <w:r>
        <w:t>Kasvuhoonegaasi</w:t>
      </w:r>
      <w:r w:rsidR="00F62518">
        <w:t>de</w:t>
      </w:r>
      <w:r>
        <w:t xml:space="preserve"> heitmete piirmäärad</w:t>
      </w:r>
      <w:bookmarkEnd w:id="15"/>
    </w:p>
    <w:p w14:paraId="54D7B336" w14:textId="4EC15A3C" w:rsidR="00315A01" w:rsidRDefault="00F5545B" w:rsidP="00612147">
      <w:pPr>
        <w:jc w:val="both"/>
      </w:pPr>
      <w:r>
        <w:t>Võimsusmehhanismile kvalifitseeruvatele elektritootmisüksuste fossiilsetele süsinikdioksiidi heitmetel on seatud järgnevad ülempiirid</w:t>
      </w:r>
      <w:r w:rsidR="00810EE4">
        <w:t xml:space="preserve"> (</w:t>
      </w:r>
      <w:r w:rsidR="00BA2430">
        <w:t xml:space="preserve">määruse </w:t>
      </w:r>
      <w:r w:rsidR="00810EE4">
        <w:t>artikkel 22 lõige 4</w:t>
      </w:r>
      <w:r w:rsidR="00BA2430">
        <w:t xml:space="preserve"> alusel</w:t>
      </w:r>
      <w:r w:rsidR="00810EE4">
        <w:t>)</w:t>
      </w:r>
      <w:r>
        <w:t xml:space="preserve">: </w:t>
      </w:r>
    </w:p>
    <w:p w14:paraId="01953F84" w14:textId="695E71CA" w:rsidR="00315A01" w:rsidRDefault="00F5545B" w:rsidP="00612147">
      <w:pPr>
        <w:pStyle w:val="ListParagraph"/>
        <w:numPr>
          <w:ilvl w:val="0"/>
          <w:numId w:val="18"/>
        </w:numPr>
        <w:jc w:val="both"/>
      </w:pPr>
      <w:r>
        <w:t>Uutel elektrijaamadel (mis on alustanud elektrienergia tootmist 2019. aasta 4. juulil või hiljem, ei tohi olla fossiilkütustest pärineva süsinikdioksiidi heitme</w:t>
      </w:r>
      <w:r w:rsidR="00942CA3">
        <w:t>te</w:t>
      </w:r>
      <w:r>
        <w:t xml:space="preserve"> kogus olla suurem kui 550 kg CO</w:t>
      </w:r>
      <w:r w:rsidRPr="007C4B60">
        <w:rPr>
          <w:vertAlign w:val="subscript"/>
        </w:rPr>
        <w:t>2</w:t>
      </w:r>
      <w:r>
        <w:t xml:space="preserve"> iga </w:t>
      </w:r>
      <w:r w:rsidRPr="00F5545B">
        <w:t>elektrienergia</w:t>
      </w:r>
      <w:r>
        <w:t xml:space="preserve"> MWh kohta.</w:t>
      </w:r>
      <w:r w:rsidR="000F5F3A">
        <w:t xml:space="preserve"> </w:t>
      </w:r>
    </w:p>
    <w:p w14:paraId="6D790A64" w14:textId="77777777" w:rsidR="00572922" w:rsidRDefault="00F5545B" w:rsidP="00612147">
      <w:pPr>
        <w:pStyle w:val="ListParagraph"/>
        <w:numPr>
          <w:ilvl w:val="0"/>
          <w:numId w:val="18"/>
        </w:numPr>
        <w:jc w:val="both"/>
      </w:pPr>
      <w:r>
        <w:t>Jaamadele, mis on elektrienergia toodangut alustanud enne 2019. aasta 4. juulit peavad fossiilkütustest pärinevad süsinikdioksiidi heitmed jääma alla 550 kg CO</w:t>
      </w:r>
      <w:r w:rsidRPr="007C4B60">
        <w:rPr>
          <w:vertAlign w:val="subscript"/>
        </w:rPr>
        <w:t>2</w:t>
      </w:r>
      <w:r>
        <w:t xml:space="preserve"> iga </w:t>
      </w:r>
      <w:r w:rsidRPr="00F5545B">
        <w:t>elektrienergia</w:t>
      </w:r>
      <w:r>
        <w:t xml:space="preserve"> MWh kohta või aasta keskmisena alla 350 tonni CO</w:t>
      </w:r>
      <w:r w:rsidRPr="007C4B60">
        <w:rPr>
          <w:vertAlign w:val="subscript"/>
        </w:rPr>
        <w:t>2</w:t>
      </w:r>
      <w:r>
        <w:t xml:space="preserve"> installeeritud elektritootmise MW kohta.</w:t>
      </w:r>
      <w:r w:rsidR="000F5F3A">
        <w:t xml:space="preserve"> </w:t>
      </w:r>
    </w:p>
    <w:p w14:paraId="2E765389" w14:textId="5FF74F6D" w:rsidR="00AD3226" w:rsidRDefault="000F5F3A" w:rsidP="00612147">
      <w:pPr>
        <w:jc w:val="both"/>
      </w:pPr>
      <w:r>
        <w:t>Vastavalt</w:t>
      </w:r>
      <w:r w:rsidR="00572922">
        <w:t xml:space="preserve"> Euroopa </w:t>
      </w:r>
      <w:r w:rsidR="00F43131">
        <w:t>Parlamendi</w:t>
      </w:r>
      <w:r w:rsidR="00572922">
        <w:t xml:space="preserve"> määrusele</w:t>
      </w:r>
      <w:r>
        <w:t xml:space="preserve"> 2019/943 on nimetatud heitmekoguste arvestamist ACER käsitlenud oma soovituslikus metoodikas </w:t>
      </w:r>
      <w:r w:rsidR="00315A01">
        <w:t>22/2019</w:t>
      </w:r>
      <w:r w:rsidR="001937A1">
        <w:rPr>
          <w:rStyle w:val="FootnoteReference"/>
        </w:rPr>
        <w:footnoteReference w:id="12"/>
      </w:r>
      <w:r w:rsidR="00315A01">
        <w:t>.</w:t>
      </w:r>
      <w:r>
        <w:t xml:space="preserve"> Metoodika ei ole liikmesriikidele siduv, kuid täpsustab mitmeid heitmete arvutamisega seonduvaid nüansse, seega </w:t>
      </w:r>
      <w:r w:rsidR="00A967D9">
        <w:t xml:space="preserve">on ettepanek lähtuda </w:t>
      </w:r>
      <w:r w:rsidR="00083E4C">
        <w:t>ka Eesti</w:t>
      </w:r>
      <w:r w:rsidR="00572922">
        <w:t xml:space="preserve"> võimsusmehhanismi rakendamise puhul</w:t>
      </w:r>
      <w:r w:rsidR="00083E4C">
        <w:t xml:space="preserve"> ACERi kirjeldatud metoodikast ning dokumendis antud hinnangutest</w:t>
      </w:r>
      <w:r>
        <w:t xml:space="preserve">. </w:t>
      </w:r>
      <w:r w:rsidR="001135DC">
        <w:t>ACERi metoodika toob välja täpsed juhised nimetatud heitmekoguste arvutamiseks ning toob esile ka mõningate erandlikumate juhtude käsitluse.</w:t>
      </w:r>
      <w:r w:rsidR="00734918">
        <w:t xml:space="preserve"> </w:t>
      </w:r>
    </w:p>
    <w:p w14:paraId="46C14D2F" w14:textId="6B3013D9" w:rsidR="00F5545B" w:rsidRDefault="00734918" w:rsidP="00612147">
      <w:pPr>
        <w:jc w:val="both"/>
      </w:pPr>
      <w:r>
        <w:t xml:space="preserve">Olulisemad seisukohad ACERi metoodikast </w:t>
      </w:r>
      <w:r w:rsidR="00AD3226">
        <w:t xml:space="preserve">süsihappegaasi eriheitme välja arvutamiseks </w:t>
      </w:r>
      <w:r>
        <w:t>on välja toodud järgnevalt:</w:t>
      </w:r>
    </w:p>
    <w:p w14:paraId="2767FCF1" w14:textId="29B28C79" w:rsidR="00734918" w:rsidRDefault="00734918" w:rsidP="00612147">
      <w:pPr>
        <w:pStyle w:val="ListParagraph"/>
        <w:numPr>
          <w:ilvl w:val="0"/>
          <w:numId w:val="8"/>
        </w:numPr>
        <w:jc w:val="both"/>
      </w:pPr>
      <w:r>
        <w:lastRenderedPageBreak/>
        <w:t xml:space="preserve">Kui võimsusmehhanismis osaleb vajaliku võimsuse tagamiseks mitu eraldiseisvat elektritootmisüksust, kehtib </w:t>
      </w:r>
      <w:r w:rsidR="00315A01">
        <w:t>kasvuhoonegaaside heitmete piirmäära</w:t>
      </w:r>
      <w:r>
        <w:t xml:space="preserve"> nõue igale elektritootmisüksusele eraldi. </w:t>
      </w:r>
      <w:r w:rsidR="005C0AB5" w:rsidRPr="005C0AB5">
        <w:t>Ühe elektrijaama elektritootmisüksused loetakse eraldiseisvaks, kui neid saab iseseisvalt opereerida ja juhtida</w:t>
      </w:r>
      <w:r>
        <w:t>.</w:t>
      </w:r>
    </w:p>
    <w:p w14:paraId="65DE8285" w14:textId="6B23F1C9" w:rsidR="00734918" w:rsidRDefault="003B047A" w:rsidP="00612147">
      <w:pPr>
        <w:pStyle w:val="ListParagraph"/>
        <w:numPr>
          <w:ilvl w:val="0"/>
          <w:numId w:val="8"/>
        </w:numPr>
        <w:jc w:val="both"/>
      </w:pPr>
      <w:r>
        <w:t>Juhul kui elektrienergia tootmisvõimsused töötavad ühtse süsteemina, kasutades sama soojusenergia allikat (nagu näiteks kombineeritud tsükliga gaasiturbiinelektrijaam, CCGT), käsitletakse nende tootmisvõimsust ja elektrienergia toodangut kombineerituna ning arvutatuna vastavalt nende tootmisvõimsuste primaarenergia sisendile. Lisanduvad soojusenergiaallikad tuleb samuti arvutustesse kaasata, kui nad on tootmisvõimsusega ühenduses ja panustavad võimsusmehhanismi väljundisse</w:t>
      </w:r>
      <w:r w:rsidR="004D2570">
        <w:t>.</w:t>
      </w:r>
    </w:p>
    <w:p w14:paraId="5CFFA088" w14:textId="6AAF8643" w:rsidR="004D2570" w:rsidRDefault="004D2570" w:rsidP="00612147">
      <w:pPr>
        <w:pStyle w:val="ListParagraph"/>
        <w:numPr>
          <w:ilvl w:val="0"/>
          <w:numId w:val="8"/>
        </w:numPr>
        <w:jc w:val="both"/>
      </w:pPr>
      <w:r>
        <w:t xml:space="preserve">Biokütuste põletamisest pärinevaid heitmed loetakse käesoleva metoodika raames võrdseks nulliga, kuid tuleb tähelepanu pöörata, et vastavad kütused peavad vastama EL direktiivi 2018/2001 artikli 29 </w:t>
      </w:r>
      <w:r w:rsidR="00B90597">
        <w:t>sätetele</w:t>
      </w:r>
      <w:r>
        <w:t>.</w:t>
      </w:r>
    </w:p>
    <w:p w14:paraId="66E37173" w14:textId="674033F0" w:rsidR="004D2570" w:rsidRDefault="004D2570" w:rsidP="00612147">
      <w:pPr>
        <w:pStyle w:val="ListParagraph"/>
        <w:numPr>
          <w:ilvl w:val="0"/>
          <w:numId w:val="8"/>
        </w:numPr>
        <w:jc w:val="both"/>
      </w:pPr>
      <w:r>
        <w:t xml:space="preserve">Tarbijatega ühendatud varugeneraatorid, mis on </w:t>
      </w:r>
      <w:r w:rsidR="001B12EA">
        <w:t xml:space="preserve">otseselt </w:t>
      </w:r>
      <w:r>
        <w:t>seotud tarbimise juhtimisega, mis osaleb võimsusmehhanismis, et vähendad</w:t>
      </w:r>
      <w:r w:rsidR="00D4131B">
        <w:t>a</w:t>
      </w:r>
      <w:r>
        <w:t xml:space="preserve"> süsteemi koormust</w:t>
      </w:r>
      <w:r w:rsidR="003A30CD">
        <w:t>,</w:t>
      </w:r>
      <w:r>
        <w:t xml:space="preserve"> peavad samuti vastama kirjeldatud heitmenõuetele.</w:t>
      </w:r>
    </w:p>
    <w:p w14:paraId="5B548CB3" w14:textId="70A6CBCD" w:rsidR="00F5545B" w:rsidRDefault="00734918" w:rsidP="00612147">
      <w:pPr>
        <w:pStyle w:val="ListParagraph"/>
        <w:numPr>
          <w:ilvl w:val="0"/>
          <w:numId w:val="8"/>
        </w:numPr>
        <w:jc w:val="both"/>
      </w:pPr>
      <w:r>
        <w:t>E</w:t>
      </w:r>
      <w:r w:rsidR="00A33300">
        <w:t xml:space="preserve">lektrienergia salvestid, mis opereerivad oma laadimistsüklit võrguühenduse abil, ei pea järgima nimetatud piirangut. Salvestid, millel on salvesti laadimiseks otseliin mõne elektrienergia tootjaga, või kellel on </w:t>
      </w:r>
      <w:r w:rsidR="003A30CD">
        <w:t xml:space="preserve">kahepoolne </w:t>
      </w:r>
      <w:r w:rsidR="00A33300">
        <w:t>leping mõne tootja</w:t>
      </w:r>
      <w:r w:rsidR="003A30CD">
        <w:t>g</w:t>
      </w:r>
      <w:r w:rsidR="00A33300">
        <w:t>a, peavad tõendama oma vastavust kasvuhoonegaaside heitmepiirangule.</w:t>
      </w:r>
    </w:p>
    <w:p w14:paraId="49E57128" w14:textId="5B3A17D7" w:rsidR="00AD3226" w:rsidRDefault="00AD3226" w:rsidP="00612147">
      <w:pPr>
        <w:jc w:val="both"/>
      </w:pPr>
      <w:r>
        <w:t>Aasta summaarse heitkoguse arvutamiseks vajalike töö</w:t>
      </w:r>
      <w:r w:rsidR="00314F42">
        <w:t>tundide tuvastamisel lähtutakse elektrijaama aasta keskmistele töötundidele viimase kolme aasta jooksul enne võimsusmehhanismi eelkvalifitseerimise protsessi välja kuulutamist.</w:t>
      </w:r>
    </w:p>
    <w:p w14:paraId="122F1246" w14:textId="6006B87E" w:rsidR="00334C45" w:rsidRDefault="00334C45" w:rsidP="00612147">
      <w:pPr>
        <w:pStyle w:val="Heading2"/>
        <w:numPr>
          <w:ilvl w:val="1"/>
          <w:numId w:val="24"/>
        </w:numPr>
        <w:jc w:val="both"/>
      </w:pPr>
      <w:bookmarkStart w:id="16" w:name="_Toc86157138"/>
      <w:r>
        <w:t>Võimsusressursside ühikvõimsus</w:t>
      </w:r>
      <w:bookmarkEnd w:id="16"/>
    </w:p>
    <w:p w14:paraId="6CE9FCFD" w14:textId="23488FFA" w:rsidR="00334C45" w:rsidRPr="00334C45" w:rsidRDefault="00334C45" w:rsidP="00612147">
      <w:pPr>
        <w:jc w:val="both"/>
      </w:pPr>
      <w:r>
        <w:t xml:space="preserve">Vähempakkumisel saavad osaleda </w:t>
      </w:r>
      <w:r w:rsidRPr="00EE7DDF">
        <w:t xml:space="preserve">ainult 1 MW või </w:t>
      </w:r>
      <w:r>
        <w:t xml:space="preserve">suuremat elektrilist </w:t>
      </w:r>
      <w:r w:rsidR="00D4131B">
        <w:t>neto</w:t>
      </w:r>
      <w:r>
        <w:t xml:space="preserve">võimsust pakkuvad </w:t>
      </w:r>
      <w:r w:rsidR="00572922">
        <w:t>pakkujad</w:t>
      </w:r>
      <w:r>
        <w:t xml:space="preserve">, eesmärgiga vähendada võimsusmehhanismi rakendamisega seonduvad halduskoormust. </w:t>
      </w:r>
      <w:r w:rsidR="00572922">
        <w:t>Võimsu</w:t>
      </w:r>
      <w:r w:rsidR="003A30CD">
        <w:t>s</w:t>
      </w:r>
      <w:r w:rsidR="00572922">
        <w:t>mehhanismi</w:t>
      </w:r>
      <w:r w:rsidR="003A30CD">
        <w:t>s</w:t>
      </w:r>
      <w:r w:rsidR="00572922">
        <w:t xml:space="preserve"> saavad osaleda seadmed </w:t>
      </w:r>
      <w:r w:rsidR="00D4131B">
        <w:t>neto</w:t>
      </w:r>
      <w:r w:rsidR="00572922">
        <w:t xml:space="preserve">nimivõimsusega vähem kui 1 MW, kuid ainul juhul kui nad osalevad võimsusmehhanismi vähempakkumisel agregeeritud ühispakkumisega, mille summaarne agregeeritud elektriline </w:t>
      </w:r>
      <w:r w:rsidR="00D4131B">
        <w:t>neto</w:t>
      </w:r>
      <w:r w:rsidR="00572922">
        <w:t>võimsus on 1 MW või suurem.</w:t>
      </w:r>
    </w:p>
    <w:p w14:paraId="683F981A" w14:textId="1EFC524E" w:rsidR="00C72430" w:rsidRDefault="00C72430" w:rsidP="00612147">
      <w:pPr>
        <w:pStyle w:val="Heading2"/>
        <w:numPr>
          <w:ilvl w:val="1"/>
          <w:numId w:val="24"/>
        </w:numPr>
        <w:jc w:val="both"/>
      </w:pPr>
      <w:bookmarkStart w:id="17" w:name="_Toc86157139"/>
      <w:r>
        <w:t>Reservvõimsuse tehnili</w:t>
      </w:r>
      <w:r w:rsidR="00C514D1">
        <w:t>ne kirjeldus</w:t>
      </w:r>
      <w:bookmarkEnd w:id="17"/>
    </w:p>
    <w:p w14:paraId="0FB65923" w14:textId="268C4694" w:rsidR="00325167" w:rsidRDefault="00325167" w:rsidP="00612147">
      <w:pPr>
        <w:jc w:val="both"/>
      </w:pPr>
      <w:r>
        <w:t>Käesolevas peatükis seatakse üldised nõuded reservvõimsusele, et osaleda võimsusmehhanismi vähempakkumisel. Nõuded tulenevad nii Euroopa Liidu seadusandlusest kui ka Eesti energiasüsteemide iseloomust ning vastavate analüüside poolt Eesti jaoks kõige tõhusamaks tunnistatud võimsusmehhanismi parameetritele.</w:t>
      </w:r>
    </w:p>
    <w:p w14:paraId="51A22D75" w14:textId="28E727C0" w:rsidR="005976E0" w:rsidRDefault="00F62518" w:rsidP="00612147">
      <w:pPr>
        <w:pStyle w:val="Heading3"/>
        <w:numPr>
          <w:ilvl w:val="2"/>
          <w:numId w:val="24"/>
        </w:numPr>
        <w:jc w:val="both"/>
      </w:pPr>
      <w:bookmarkStart w:id="18" w:name="_Toc86157140"/>
      <w:r>
        <w:t>Reservvõimsuse valmisolek ja selle</w:t>
      </w:r>
      <w:r w:rsidR="005976E0">
        <w:t xml:space="preserve"> </w:t>
      </w:r>
      <w:r w:rsidR="00EE7DDF">
        <w:t>testimine</w:t>
      </w:r>
      <w:bookmarkEnd w:id="18"/>
    </w:p>
    <w:p w14:paraId="46ECC053" w14:textId="395B43B7" w:rsidR="00F62518" w:rsidRPr="00F62518" w:rsidRDefault="00B92FDC" w:rsidP="00612147">
      <w:pPr>
        <w:jc w:val="both"/>
      </w:pPr>
      <w:r>
        <w:t>Võimsusepakkuja</w:t>
      </w:r>
      <w:r w:rsidR="00F62518">
        <w:t xml:space="preserve"> peab olema käivitamiseks valmis igal ajahetkel vastavalt käesolevas dokumendis toodud tingimustele. Erandina ei pea </w:t>
      </w:r>
      <w:r>
        <w:t xml:space="preserve">võimsusepakkuja </w:t>
      </w:r>
      <w:r w:rsidR="00F62518">
        <w:t xml:space="preserve">käivitamiseks valmis olema iga-aastase hoolduse jooksul. Aastased hooldusgraafikud esitatakse Eleringile </w:t>
      </w:r>
      <w:r w:rsidR="00326F31">
        <w:t>eelneva aasta novembrikuus kooskõlastamiseks. Eleringil on hooldusgraafikutes teha muudatusi, et vältida hooldusgraafikute liigset kattumist ning nende sattumist elektrisüsteemi jaoks kriitilistele ajaperioodidele.</w:t>
      </w:r>
      <w:r w:rsidR="00AA4C11">
        <w:t xml:space="preserve"> Maksimaalne hooldusperiood aasta kohta on 45 kalendripäeva.</w:t>
      </w:r>
    </w:p>
    <w:p w14:paraId="6680F4CC" w14:textId="6ABEA9B4" w:rsidR="00622C79" w:rsidRPr="00622C79" w:rsidRDefault="00622C79" w:rsidP="00612147">
      <w:pPr>
        <w:jc w:val="both"/>
      </w:pPr>
      <w:r>
        <w:t>Eleringil on õigus reservvõimsuse valmidust</w:t>
      </w:r>
      <w:r w:rsidR="00326F31">
        <w:t xml:space="preserve"> reservvõimsuse pakkumiseks</w:t>
      </w:r>
      <w:r>
        <w:t xml:space="preserve"> testida ilma</w:t>
      </w:r>
      <w:r w:rsidR="00326F31">
        <w:t xml:space="preserve"> eelneva</w:t>
      </w:r>
      <w:r>
        <w:t xml:space="preserve"> etteteatamiseta. </w:t>
      </w:r>
      <w:r w:rsidR="00007416">
        <w:t xml:space="preserve">Testimise raames </w:t>
      </w:r>
      <w:r w:rsidR="00015770">
        <w:t xml:space="preserve">planeeritud </w:t>
      </w:r>
      <w:r w:rsidR="00007416">
        <w:t xml:space="preserve">elektrienergia </w:t>
      </w:r>
      <w:r w:rsidR="00015770">
        <w:t xml:space="preserve">tootmise ulatuses </w:t>
      </w:r>
      <w:r w:rsidR="00007416">
        <w:t xml:space="preserve">teeb Elering päev ette turule pakkumise </w:t>
      </w:r>
      <w:r w:rsidR="00015770">
        <w:t>miinimum</w:t>
      </w:r>
      <w:r w:rsidR="00007416">
        <w:t xml:space="preserve">hinnaga. Energia müügist saadud tulu jääb Eleringile ning arvestatakse </w:t>
      </w:r>
      <w:r w:rsidR="00007416">
        <w:lastRenderedPageBreak/>
        <w:t>maha tarbija käest küsitavast strateegilise reservi tasust.</w:t>
      </w:r>
      <w:r w:rsidR="008E46DE">
        <w:t xml:space="preserve"> Testimise ja käivitamisega seonduvat bilansiselgitust kirjeldab detailsemalt peatükk </w:t>
      </w:r>
      <w:r w:rsidR="008E46DE">
        <w:fldChar w:fldCharType="begin"/>
      </w:r>
      <w:r w:rsidR="008E46DE">
        <w:instrText xml:space="preserve"> REF _Ref86158407 \r \h </w:instrText>
      </w:r>
      <w:r w:rsidR="008E46DE">
        <w:fldChar w:fldCharType="separate"/>
      </w:r>
      <w:r w:rsidR="008E46DE">
        <w:t>5.6</w:t>
      </w:r>
      <w:r w:rsidR="008E46DE">
        <w:fldChar w:fldCharType="end"/>
      </w:r>
      <w:r w:rsidR="008E46DE">
        <w:t>.</w:t>
      </w:r>
    </w:p>
    <w:p w14:paraId="25F963A8" w14:textId="72E15668" w:rsidR="00E24D9E" w:rsidRDefault="00E24D9E" w:rsidP="00612147">
      <w:pPr>
        <w:jc w:val="both"/>
      </w:pPr>
      <w:r>
        <w:t>Reservvõimsust</w:t>
      </w:r>
      <w:r w:rsidR="00796B84">
        <w:t xml:space="preserve"> testitakse </w:t>
      </w:r>
      <w:r w:rsidR="001C75C5">
        <w:t>ühe aasta jooksul</w:t>
      </w:r>
      <w:r>
        <w:t xml:space="preserve"> edukalt kuni kolm</w:t>
      </w:r>
      <w:r w:rsidR="00326F31">
        <w:t xml:space="preserve"> korda</w:t>
      </w:r>
      <w:r>
        <w:t>. Reservvõimsuse teste ei viida läbi perioodil, mil vastavalt Eleringile teadaolevatel andmetel ei ole reservvõimsus valmis aktiveerimiseks tänu planeeritud hooldustele.</w:t>
      </w:r>
      <w:r w:rsidR="0067286E">
        <w:t xml:space="preserve"> </w:t>
      </w:r>
      <w:r>
        <w:t>Testitud reservvõimsuste valik ja testimise ajakava tuvastatakse Eleringi poolt määratud protseduuriga. Nimetatud pro</w:t>
      </w:r>
      <w:r w:rsidR="00326F31">
        <w:t>tseduuri</w:t>
      </w:r>
      <w:r>
        <w:t xml:space="preserve"> ei avalikustata ega jagata reservvõimsuste omanikega. Protseduuri sisendiks on muu hulgas eelnevate testide läbimise statistika ja jaamade hooldusgraafikud.</w:t>
      </w:r>
      <w:r w:rsidR="0067286E">
        <w:t xml:space="preserve"> </w:t>
      </w:r>
      <w:r>
        <w:t>Testi läbi viimiseks annab Elering reservvõimsusele teada testi toim</w:t>
      </w:r>
      <w:r w:rsidR="00CF0066">
        <w:t>u</w:t>
      </w:r>
      <w:r>
        <w:t>misest ning selle eeldatavast kestvusest</w:t>
      </w:r>
      <w:r w:rsidR="0067286E">
        <w:t>.</w:t>
      </w:r>
      <w:r w:rsidR="004C3AE7">
        <w:t xml:space="preserve"> Igasugune puudu olev tootmisvõimsus reaalse jaama väljundi ja lepingulise reservvõimsuse vahel  on trahvitav vastavalt reservvõimsuse lepingu tingimustele.</w:t>
      </w:r>
      <w:r w:rsidR="008E46DE">
        <w:t xml:space="preserve"> Reservvõimsust testimine kestab maksimaalselt hetkeni, kui reservvõimsus on saavutanud maksimaalse väljundvõimsuseni ning on seda suutnud hoida viiel järjestikkusel tunnil.</w:t>
      </w:r>
    </w:p>
    <w:p w14:paraId="3DD899D4" w14:textId="6D8980F7" w:rsidR="00CF0066" w:rsidRDefault="00CF0066" w:rsidP="00612147">
      <w:pPr>
        <w:jc w:val="both"/>
      </w:pPr>
      <w:r>
        <w:t xml:space="preserve">Strateegilise reservi maksed testimise ebaedukalt läbinud ressursile peatatakse koheselt, kuni testimise eduka läbimiseni. Kui ebaedukale testimisele ei järgne edukat </w:t>
      </w:r>
      <w:r w:rsidRPr="001B12EA">
        <w:t xml:space="preserve">testimist </w:t>
      </w:r>
      <w:r w:rsidR="00B73128" w:rsidRPr="009228F8">
        <w:t xml:space="preserve">30 </w:t>
      </w:r>
      <w:r w:rsidRPr="009228F8">
        <w:t>päeva</w:t>
      </w:r>
      <w:r w:rsidRPr="001B12EA">
        <w:t xml:space="preserve"> jooksul</w:t>
      </w:r>
      <w:r>
        <w:t xml:space="preserve">, siis </w:t>
      </w:r>
      <w:r w:rsidR="00F90327">
        <w:t xml:space="preserve">on Eleringil õigus </w:t>
      </w:r>
      <w:r>
        <w:t xml:space="preserve">strateegilise reservi leping ressursiga </w:t>
      </w:r>
      <w:r w:rsidR="00F90327">
        <w:t>lõpetada</w:t>
      </w:r>
      <w:r>
        <w:t>.</w:t>
      </w:r>
    </w:p>
    <w:p w14:paraId="5FC3535C" w14:textId="6FA9E599" w:rsidR="007F3165" w:rsidRDefault="007F3165" w:rsidP="00612147">
      <w:pPr>
        <w:jc w:val="both"/>
      </w:pPr>
      <w:r>
        <w:t>Ebaeduka testimise korral määratakse reservvõimsusele tra</w:t>
      </w:r>
      <w:r w:rsidR="00326F31">
        <w:t>h</w:t>
      </w:r>
      <w:r>
        <w:t>v</w:t>
      </w:r>
      <w:r w:rsidR="00F90327">
        <w:t xml:space="preserve"> kuni testimise eduka läbimiseni</w:t>
      </w:r>
      <w:r>
        <w:t>. Trahvi arvutatakse alates reservvõimsuse käivitamiseks ette nähtud ajahetkest igaks tunniks</w:t>
      </w:r>
      <w:r w:rsidR="00A77E66">
        <w:t xml:space="preserve"> </w:t>
      </w:r>
      <w:r w:rsidR="003037C9">
        <w:t>kuni reservvõimsuse käivitamiseni või testimise läbimiseni</w:t>
      </w:r>
      <w:r>
        <w:t>. Trahvi määr on 10 EUR igas tunnis iga megavati kohta</w:t>
      </w:r>
      <w:r w:rsidR="00F90327">
        <w:t>,</w:t>
      </w:r>
      <w:r>
        <w:t xml:space="preserve"> mille võrra reservvõimsuse tunni keskmine väljundvõimsus on madalam lepingulisest reservvõimsuse väärtusest.</w:t>
      </w:r>
    </w:p>
    <w:p w14:paraId="77E0D9D4" w14:textId="256DDDA0" w:rsidR="007E0DF9" w:rsidRPr="00622C79" w:rsidRDefault="004C3AE7" w:rsidP="00612147">
      <w:pPr>
        <w:jc w:val="both"/>
      </w:pPr>
      <w:r>
        <w:t>Kõik reservvõimsuste testimisega seonduvad</w:t>
      </w:r>
      <w:r w:rsidR="00D0662B">
        <w:t xml:space="preserve"> elektrijaama poolsed</w:t>
      </w:r>
      <w:r>
        <w:t xml:space="preserve"> kulud katab reservvõimsuse omanik.</w:t>
      </w:r>
      <w:r w:rsidR="00D0662B">
        <w:t xml:space="preserve"> Elektrijaama poolsed kulud on kulud, mis on vajalikud elektrijaama käivitamiseks, väljundvõimsuseni jõudmiseks ning vastava väljundvõimsuse hoidmiseks ning nende kulude hulka kuuluvad muu hulgas kõik vastavad kulutused personalile, seadmete hooldamisele ja remondile, kõikvõimalikele keskkonnatasude- ja maksudele ning kütustele ja muudele energiakandjatele.</w:t>
      </w:r>
    </w:p>
    <w:p w14:paraId="5C65132B" w14:textId="3164B9F4" w:rsidR="00822E5A" w:rsidRDefault="00822E5A" w:rsidP="00612147">
      <w:pPr>
        <w:pStyle w:val="Heading3"/>
        <w:numPr>
          <w:ilvl w:val="2"/>
          <w:numId w:val="24"/>
        </w:numPr>
        <w:jc w:val="both"/>
      </w:pPr>
      <w:bookmarkStart w:id="19" w:name="_Ref77577009"/>
      <w:bookmarkStart w:id="20" w:name="_Toc86157141"/>
      <w:r>
        <w:t>Sanktsioonid ja trahvid võimsuste mitte käivitamisest</w:t>
      </w:r>
      <w:bookmarkEnd w:id="19"/>
      <w:bookmarkEnd w:id="20"/>
    </w:p>
    <w:p w14:paraId="1B7A538D" w14:textId="4BED3104" w:rsidR="00CF6924" w:rsidRPr="00CF6924" w:rsidRDefault="00CF6924" w:rsidP="00612147">
      <w:pPr>
        <w:jc w:val="both"/>
      </w:pPr>
      <w:r>
        <w:t>Kui reservvõimsusele on antud signaal käivituda lähtuvalt elektrienergia puudujäägi</w:t>
      </w:r>
      <w:r w:rsidR="0053362B">
        <w:t>st</w:t>
      </w:r>
      <w:r>
        <w:t xml:space="preserve"> elektrisüsteemis ning reservvõimsust pakkuv ressurss aktiveer</w:t>
      </w:r>
      <w:r w:rsidR="000D5361">
        <w:t>u</w:t>
      </w:r>
      <w:r>
        <w:t xml:space="preserve">b lepingulisest mahust väiksemas mahus, järgneb mitte käivitamise </w:t>
      </w:r>
      <w:r w:rsidR="005C0AB5">
        <w:t>trahv ja s</w:t>
      </w:r>
      <w:r w:rsidR="0012694C">
        <w:t xml:space="preserve">trateegilise reservi maksete peatamine eduka käivitumise või testi läbimise hetkeni. </w:t>
      </w:r>
      <w:r w:rsidR="000B46B3">
        <w:t>Trahvi ei rakendata, kui võimsus jääb tolerantsi +-</w:t>
      </w:r>
      <w:r w:rsidR="008B13B6">
        <w:t>10</w:t>
      </w:r>
      <w:r w:rsidR="000B46B3">
        <w:t xml:space="preserve">% piiresse. </w:t>
      </w:r>
      <w:r>
        <w:t>Trahvi määr on</w:t>
      </w:r>
      <w:r w:rsidR="007F3165">
        <w:t xml:space="preserve"> võrdne </w:t>
      </w:r>
      <w:r w:rsidR="0053362B">
        <w:t xml:space="preserve">Konkurentsiameti poolt sätestatud saamata energia </w:t>
      </w:r>
      <w:r w:rsidR="007F3165">
        <w:t>hinnaga</w:t>
      </w:r>
      <w:r>
        <w:t xml:space="preserve"> igas tunnis iga megavati kohta</w:t>
      </w:r>
      <w:r w:rsidR="00F34DB1">
        <w:t>,</w:t>
      </w:r>
      <w:r>
        <w:t xml:space="preserve"> mille võrra reservvõimsuse tunni keskmine väljundvõimsus on madalam </w:t>
      </w:r>
      <w:r w:rsidR="005C0AB5">
        <w:t>nõutud reservvõimsuse väljundvõimsusest</w:t>
      </w:r>
      <w:r>
        <w:t>.</w:t>
      </w:r>
      <w:r w:rsidR="00806B2A">
        <w:t xml:space="preserve"> Täiendavalt loetakse sellisel juhul mitte käivitumist võrdseks testi mitte läbimisega (v.a trahvi osas) ning järgneb reservvõimsuse maksete peatamine. Maksed jätkuvad pärast eduka</w:t>
      </w:r>
      <w:r w:rsidR="003C1294">
        <w:t>t käivitamist või</w:t>
      </w:r>
      <w:r w:rsidR="00806B2A">
        <w:t xml:space="preserve"> testi läbimist.</w:t>
      </w:r>
    </w:p>
    <w:p w14:paraId="28DCD931" w14:textId="35E8A0C4" w:rsidR="00971464" w:rsidRDefault="00226F13" w:rsidP="00612147">
      <w:pPr>
        <w:pStyle w:val="Heading3"/>
        <w:numPr>
          <w:ilvl w:val="2"/>
          <w:numId w:val="24"/>
        </w:numPr>
        <w:jc w:val="both"/>
      </w:pPr>
      <w:bookmarkStart w:id="21" w:name="_Toc86157142"/>
      <w:r>
        <w:t>Tehnilised</w:t>
      </w:r>
      <w:r w:rsidR="00971464">
        <w:t xml:space="preserve"> nõuded </w:t>
      </w:r>
      <w:r w:rsidR="0057047F">
        <w:t>elektrienergia netotootjatele</w:t>
      </w:r>
      <w:bookmarkEnd w:id="21"/>
    </w:p>
    <w:p w14:paraId="756899D7" w14:textId="77777777" w:rsidR="00971464" w:rsidRDefault="00971464" w:rsidP="00612147">
      <w:pPr>
        <w:pStyle w:val="Heading4"/>
        <w:jc w:val="both"/>
      </w:pPr>
      <w:r>
        <w:t>Käivitamiskiirus</w:t>
      </w:r>
    </w:p>
    <w:p w14:paraId="48E2C3B7" w14:textId="311BEFFF" w:rsidR="00971464" w:rsidRPr="0074031D" w:rsidRDefault="00B92FDC" w:rsidP="00612147">
      <w:pPr>
        <w:jc w:val="both"/>
      </w:pPr>
      <w:r>
        <w:t>Võimsusepakkuja</w:t>
      </w:r>
      <w:r w:rsidR="00971464">
        <w:t xml:space="preserve"> peab olema võimeline ilma eelneva ette teatamiseta jõudma lepingulise reservvõimsuse väärtuseni kõige enam </w:t>
      </w:r>
      <w:r w:rsidR="00D4131B" w:rsidRPr="00710584">
        <w:t>1</w:t>
      </w:r>
      <w:r w:rsidR="00D4131B">
        <w:t xml:space="preserve">5 </w:t>
      </w:r>
      <w:r w:rsidR="00971464">
        <w:t xml:space="preserve">tunni alates hetkest, kui on antud korraldus käivitada reservvõimsused elektrienergia puudujäägi katmiseks </w:t>
      </w:r>
      <w:r w:rsidR="00D4131B">
        <w:t>või testimiseks</w:t>
      </w:r>
      <w:r w:rsidR="00971464">
        <w:t>.</w:t>
      </w:r>
    </w:p>
    <w:p w14:paraId="3E7B3200" w14:textId="77777777" w:rsidR="00971464" w:rsidRDefault="00971464" w:rsidP="00612147">
      <w:pPr>
        <w:pStyle w:val="Heading4"/>
        <w:jc w:val="both"/>
      </w:pPr>
      <w:r>
        <w:t>Aktiveerimise kestus ja asendatavus</w:t>
      </w:r>
    </w:p>
    <w:p w14:paraId="3790D4B9" w14:textId="0EFAC1AE" w:rsidR="00971464" w:rsidRDefault="00B92FDC" w:rsidP="00612147">
      <w:pPr>
        <w:jc w:val="both"/>
      </w:pPr>
      <w:r>
        <w:t>Võimsusepakkuja</w:t>
      </w:r>
      <w:r w:rsidR="00971464">
        <w:t xml:space="preserve"> peab olema võimeline reservvõimsuse teenust pakkuma </w:t>
      </w:r>
      <w:r w:rsidR="00971464" w:rsidRPr="009228F8">
        <w:t xml:space="preserve">vähemalt 200 järjestikkusel tunnil </w:t>
      </w:r>
      <w:r w:rsidR="00F158AF" w:rsidRPr="009228F8">
        <w:t xml:space="preserve">ja </w:t>
      </w:r>
      <w:r w:rsidR="00971464" w:rsidRPr="009228F8">
        <w:t xml:space="preserve">ühtekokku vähemalt </w:t>
      </w:r>
      <w:r w:rsidR="00A0779B" w:rsidRPr="009228F8">
        <w:t>38</w:t>
      </w:r>
      <w:r w:rsidR="00971464" w:rsidRPr="009228F8">
        <w:t xml:space="preserve">0 tunnil kogu </w:t>
      </w:r>
      <w:r w:rsidR="001C75C5" w:rsidRPr="009228F8">
        <w:t>aasta</w:t>
      </w:r>
      <w:r w:rsidR="00971464" w:rsidRPr="009228F8">
        <w:t xml:space="preserve"> jooksul</w:t>
      </w:r>
      <w:r w:rsidR="001C75C5" w:rsidRPr="009228F8">
        <w:t>, välja arvatud varem kokku</w:t>
      </w:r>
      <w:r w:rsidR="001C75C5">
        <w:t xml:space="preserve"> lepitud hooldusperioodil</w:t>
      </w:r>
      <w:r w:rsidR="00971464">
        <w:t xml:space="preserve">. </w:t>
      </w:r>
    </w:p>
    <w:p w14:paraId="448D97B7" w14:textId="1266A4F8" w:rsidR="00971464" w:rsidRDefault="00226F13" w:rsidP="00612147">
      <w:pPr>
        <w:pStyle w:val="Heading3"/>
        <w:numPr>
          <w:ilvl w:val="2"/>
          <w:numId w:val="24"/>
        </w:numPr>
        <w:jc w:val="both"/>
      </w:pPr>
      <w:bookmarkStart w:id="22" w:name="_Toc86157143"/>
      <w:r>
        <w:lastRenderedPageBreak/>
        <w:t>Tehnilised</w:t>
      </w:r>
      <w:r w:rsidR="00971464">
        <w:t xml:space="preserve"> nõuded energiasalvestitele ja tarbimise juhtimisele</w:t>
      </w:r>
      <w:bookmarkEnd w:id="22"/>
    </w:p>
    <w:p w14:paraId="4A1C8E58" w14:textId="015C98E8" w:rsidR="00971464" w:rsidRDefault="00971464" w:rsidP="00612147">
      <w:pPr>
        <w:pStyle w:val="Heading4"/>
        <w:jc w:val="both"/>
      </w:pPr>
      <w:r>
        <w:t>Käivitamiskiirus</w:t>
      </w:r>
    </w:p>
    <w:p w14:paraId="5862ABDC" w14:textId="323994B3" w:rsidR="00971464" w:rsidRPr="00971464" w:rsidRDefault="00971464" w:rsidP="00612147">
      <w:pPr>
        <w:jc w:val="both"/>
      </w:pPr>
      <w:r>
        <w:t>Reservvõimsus peab olema võimeline ilma eelneva ette teatamiseta jõudma lepingulise reservvõimsuse väärtuseni kõige enam 1 tunni jooksul, sellest hetkest kui on antud korraldus käivitada reservvõimsused elektrienergia puudujäägi katmiseks.</w:t>
      </w:r>
    </w:p>
    <w:p w14:paraId="35274FFB" w14:textId="2B1D0601" w:rsidR="00971464" w:rsidRDefault="00971464" w:rsidP="00612147">
      <w:pPr>
        <w:pStyle w:val="Heading4"/>
        <w:jc w:val="both"/>
      </w:pPr>
      <w:r>
        <w:t>Aktiveerimise kestus ja asendatavus</w:t>
      </w:r>
    </w:p>
    <w:p w14:paraId="1CE5EB00" w14:textId="56895955" w:rsidR="00971464" w:rsidRDefault="00971464" w:rsidP="00612147">
      <w:pPr>
        <w:jc w:val="both"/>
      </w:pPr>
      <w:r>
        <w:t xml:space="preserve">Reservvõimsus peab olema võimeline reservvõimsuse teenust pakkuma </w:t>
      </w:r>
      <w:r w:rsidRPr="009228F8">
        <w:t>vähemalt 2 järjestikkusel</w:t>
      </w:r>
      <w:r>
        <w:t xml:space="preserve"> tunnil või ühtekokku vähemalt 200 tunnil kogu </w:t>
      </w:r>
      <w:r w:rsidR="001C75C5">
        <w:t>aasta</w:t>
      </w:r>
      <w:r>
        <w:t xml:space="preserve"> jooksul. Kui ühe </w:t>
      </w:r>
      <w:r w:rsidR="001C75C5">
        <w:t>aasta</w:t>
      </w:r>
      <w:r>
        <w:t xml:space="preserve"> jooksul on eelmisest aktiveerimisest möödas rohkem kui 6 tundi, peab reservvõimsus alates sellest hetkest olema valmis jällegi teenust pakkuma vähemalt 2 järjestikkuse tunni jooksul.</w:t>
      </w:r>
    </w:p>
    <w:p w14:paraId="5F123732" w14:textId="4E788F58" w:rsidR="00C514D1" w:rsidRDefault="00C514D1" w:rsidP="00612147">
      <w:pPr>
        <w:pStyle w:val="Heading3"/>
        <w:numPr>
          <w:ilvl w:val="2"/>
          <w:numId w:val="24"/>
        </w:numPr>
        <w:jc w:val="both"/>
      </w:pPr>
      <w:bookmarkStart w:id="23" w:name="_Toc86157144"/>
      <w:r>
        <w:t>Võimsusmehhanismi aktiveerimine elektrienergia puudujäägi katmiseks</w:t>
      </w:r>
      <w:bookmarkEnd w:id="23"/>
    </w:p>
    <w:p w14:paraId="0220014F" w14:textId="776BB01A" w:rsidR="00F02E32" w:rsidRDefault="00F02E32" w:rsidP="00612147">
      <w:pPr>
        <w:jc w:val="both"/>
      </w:pPr>
      <w:r>
        <w:t>Võimsusmehhanism viiakse valmisoleku seisundisse või aktiveeritakse vajalikus mahus</w:t>
      </w:r>
      <w:r w:rsidR="005726EC">
        <w:t xml:space="preserve">, kui Eleringi vastav vastutav isik annab sellekohase käsu võimsusepakkujale. </w:t>
      </w:r>
      <w:r>
        <w:t xml:space="preserve">Käsk antakse võimsusepakkujale üle telefoni teel eelnevalt kooskõlastatud telefoninumbrile. Võimsuspakkuja saab määrata kaks telefoninumbrit, millele helistatakse, et üle anda korraldus võimsus käivitada. Juhul kui võimsusepakkujat ei ole </w:t>
      </w:r>
      <w:r w:rsidR="005726EC">
        <w:t xml:space="preserve">võimalik </w:t>
      </w:r>
      <w:r>
        <w:t xml:space="preserve">kummalgi eelnevalt määratud telefoninumbril kätte </w:t>
      </w:r>
      <w:r w:rsidRPr="00BE4FCB">
        <w:t xml:space="preserve">saada </w:t>
      </w:r>
      <w:r w:rsidRPr="009228F8">
        <w:t>15 m</w:t>
      </w:r>
      <w:r w:rsidRPr="00BE4FCB">
        <w:t>inuti</w:t>
      </w:r>
      <w:r>
        <w:t xml:space="preserve"> jooksul alates esimesest </w:t>
      </w:r>
      <w:r w:rsidR="005726EC">
        <w:t>kontakti loomise üritusest</w:t>
      </w:r>
      <w:r>
        <w:t xml:space="preserve">, arvestatakse seda </w:t>
      </w:r>
      <w:r w:rsidR="005726EC">
        <w:t xml:space="preserve">reservvõimsuse </w:t>
      </w:r>
      <w:r>
        <w:t>mitte käivitamisena ning arvestatakse kõiki sellekohaseid trahve ja sanktsioone.</w:t>
      </w:r>
    </w:p>
    <w:p w14:paraId="665122BD" w14:textId="6AE7118C" w:rsidR="00E35A6B" w:rsidRPr="00F02E32" w:rsidRDefault="00E35A6B" w:rsidP="00612147">
      <w:pPr>
        <w:jc w:val="both"/>
      </w:pPr>
      <w:r>
        <w:t>Ajahetkedel, mil võimsusmehhanism on aktiveeritud (välja arvatud ajahetked, kus võimsusmehhanism on viidud ainult valmisoleku staadiumisse), on ebabilansi hind elektrituru Eesti hinnapiirkonnas võrdne</w:t>
      </w:r>
      <w:r w:rsidR="003A55A6">
        <w:t xml:space="preserve"> kas</w:t>
      </w:r>
      <w:r>
        <w:t xml:space="preserve"> Konkurentsiameti poolt kinnitatud saamata jäänud energia hinnaga,</w:t>
      </w:r>
      <w:r w:rsidR="003A55A6">
        <w:t xml:space="preserve"> või päevasisese elektrituru ülemisest hinnalimiidist kõrgema hinnaga, olenevalt kumb nimetatud hinnast on kõrgem.</w:t>
      </w:r>
      <w:r>
        <w:t xml:space="preserve"> </w:t>
      </w:r>
    </w:p>
    <w:p w14:paraId="55B8F557" w14:textId="70C7D7A0" w:rsidR="00822E5A" w:rsidRDefault="00C72430" w:rsidP="00612147">
      <w:pPr>
        <w:pStyle w:val="Heading1"/>
        <w:numPr>
          <w:ilvl w:val="0"/>
          <w:numId w:val="24"/>
        </w:numPr>
        <w:jc w:val="both"/>
      </w:pPr>
      <w:bookmarkStart w:id="24" w:name="_Toc86157145"/>
      <w:r>
        <w:lastRenderedPageBreak/>
        <w:t>Võimsuste hankimine</w:t>
      </w:r>
      <w:r w:rsidR="00572922">
        <w:t xml:space="preserve"> vähempakkumisena</w:t>
      </w:r>
      <w:bookmarkEnd w:id="24"/>
    </w:p>
    <w:p w14:paraId="54B85E1A" w14:textId="53556C33" w:rsidR="00C015FE" w:rsidRDefault="00822E5A" w:rsidP="00612147">
      <w:pPr>
        <w:jc w:val="both"/>
      </w:pPr>
      <w:r>
        <w:t>Käesolev peatükk käsitleb tootmisvõimsuste vähempakkumise läbiviimise korda. Kirjeldatud on vähempakkumiste läbi viimise ajakava, pakkumisel esitatud kriteeriumid, hangitava võimsuse kogused ning pakkumisel nõutavad parameetrid. Samuti antakse ülevaade pakkumise tulemuse selgitamise protsessist.</w:t>
      </w:r>
    </w:p>
    <w:p w14:paraId="0F24D139" w14:textId="1EF01D75" w:rsidR="00822E5A" w:rsidRDefault="00822E5A" w:rsidP="00612147">
      <w:pPr>
        <w:pStyle w:val="Heading2"/>
        <w:numPr>
          <w:ilvl w:val="1"/>
          <w:numId w:val="24"/>
        </w:numPr>
        <w:jc w:val="both"/>
      </w:pPr>
      <w:bookmarkStart w:id="25" w:name="_Toc86157146"/>
      <w:r>
        <w:t>Vähempakkumiste ajakava ning kehtivus</w:t>
      </w:r>
      <w:bookmarkEnd w:id="25"/>
    </w:p>
    <w:p w14:paraId="16BD2C8C" w14:textId="3BD1BEBD" w:rsidR="00BD508B" w:rsidRDefault="00BD508B" w:rsidP="00612147">
      <w:pPr>
        <w:jc w:val="both"/>
      </w:pPr>
      <w:r>
        <w:t>Vähemp</w:t>
      </w:r>
      <w:r w:rsidR="00884B99">
        <w:t>a</w:t>
      </w:r>
      <w:r>
        <w:t xml:space="preserve">kkumise korraldamise eelduseks on erinevad seadusemuudatused ning riigiabi luba Euroopa Komisjonilt. Seetõttu algavad võimsusmehhanismi rakendavad tegevused mitmeid aastaid enne eeldatava võimsuse puudujäägi tekkimist. </w:t>
      </w:r>
      <w:r w:rsidR="004A4302">
        <w:t>Vähempakkumise protsess</w:t>
      </w:r>
      <w:r>
        <w:t xml:space="preserve"> omakorda</w:t>
      </w:r>
      <w:r w:rsidR="004A4302">
        <w:t xml:space="preserve"> toimub piisavalt pikka aega enne mehhanismis rakendamist, et anda turuosalistele aega koh</w:t>
      </w:r>
      <w:r>
        <w:t>anemiseks</w:t>
      </w:r>
      <w:r w:rsidR="00EE7DDF">
        <w:t>,</w:t>
      </w:r>
      <w:r>
        <w:t xml:space="preserve"> uute tingimuste arvesse võtmiseks</w:t>
      </w:r>
      <w:r w:rsidR="00EE7DDF">
        <w:t xml:space="preserve"> ning vajalike investeeringute tegemiseks</w:t>
      </w:r>
      <w:r>
        <w:t xml:space="preserve">. Vastavalt püstitatud ajakavale viiakse vähempakkumise protsess läbi </w:t>
      </w:r>
      <w:r w:rsidR="00B82341">
        <w:t xml:space="preserve">kuni </w:t>
      </w:r>
      <w:r w:rsidR="000D5361">
        <w:t>neli</w:t>
      </w:r>
      <w:r>
        <w:t xml:space="preserve"> aastat enne võimsusmehhanismi jõustumist</w:t>
      </w:r>
      <w:r w:rsidR="00913F51">
        <w:t>.</w:t>
      </w:r>
    </w:p>
    <w:p w14:paraId="5F1E5227" w14:textId="559F8C28" w:rsidR="00510E06" w:rsidRDefault="00510E06" w:rsidP="00612147">
      <w:pPr>
        <w:jc w:val="both"/>
      </w:pPr>
      <w:r>
        <w:t xml:space="preserve">Vähempakkumise toimumise ning selle tingimuste kohta avaldatakse teade Eleringi kodulehel vähemalt </w:t>
      </w:r>
      <w:r w:rsidR="00806B2A">
        <w:t xml:space="preserve">3 </w:t>
      </w:r>
      <w:r>
        <w:t>kuud enne vähempakkumise toimumist. Teates avalikustatakse vähempakkumise toimumise ajakava ja tingimus</w:t>
      </w:r>
      <w:r w:rsidR="00325167">
        <w:t>ed</w:t>
      </w:r>
      <w:r>
        <w:t xml:space="preserve">, </w:t>
      </w:r>
      <w:r w:rsidR="00325167">
        <w:t>seal</w:t>
      </w:r>
      <w:r>
        <w:t xml:space="preserve"> hulgas vähempakkumise kaudu </w:t>
      </w:r>
      <w:r w:rsidR="00693EA1">
        <w:t>hangitav</w:t>
      </w:r>
      <w:r>
        <w:t xml:space="preserve"> reservvõimsuse kogus.</w:t>
      </w:r>
      <w:r w:rsidR="00693EA1">
        <w:t xml:space="preserve"> </w:t>
      </w:r>
    </w:p>
    <w:p w14:paraId="552BB79B" w14:textId="738F9904" w:rsidR="0023269D" w:rsidRPr="00BE4FCB" w:rsidRDefault="0023269D" w:rsidP="00612147">
      <w:pPr>
        <w:jc w:val="both"/>
      </w:pPr>
      <w:r>
        <w:t xml:space="preserve">Vähempakkumises on kaks dokumentide esitamise vooru võimsusepakkujatele. Esimeses, eelkvalifitseerimise voorus veendutakse võimsusepakkujate </w:t>
      </w:r>
      <w:r w:rsidR="005726EC">
        <w:t xml:space="preserve">tehnilises võimekuses </w:t>
      </w:r>
      <w:r>
        <w:t xml:space="preserve">vajalikku teenust osutada ning </w:t>
      </w:r>
      <w:r w:rsidR="005726EC">
        <w:t xml:space="preserve">kontrollitakse </w:t>
      </w:r>
      <w:r>
        <w:t xml:space="preserve">nende </w:t>
      </w:r>
      <w:r w:rsidRPr="00BE4FCB">
        <w:t xml:space="preserve">igakülgset vastavust kehtivate Eesti ja Euroopa Liidu regulatsiooniga. Eelkvalifitseerimise etapp kestab </w:t>
      </w:r>
      <w:r w:rsidR="00E2707D">
        <w:t>4</w:t>
      </w:r>
      <w:r w:rsidRPr="00BE4FCB">
        <w:t xml:space="preserve"> kuud.</w:t>
      </w:r>
    </w:p>
    <w:p w14:paraId="28C2F181" w14:textId="0BDD8493" w:rsidR="0023269D" w:rsidRPr="00BE4FCB" w:rsidRDefault="0023269D" w:rsidP="00612147">
      <w:pPr>
        <w:jc w:val="both"/>
      </w:pPr>
      <w:r w:rsidRPr="00BE4FCB">
        <w:t xml:space="preserve">Võimsusepakkujad, kes läbivad eelkvalifitseerimise faasi edukalt, saavad õiguse esitada </w:t>
      </w:r>
      <w:r w:rsidR="005726EC" w:rsidRPr="00BE4FCB">
        <w:t>vähempakkumisele oma pakkumise</w:t>
      </w:r>
      <w:r w:rsidRPr="00BE4FCB">
        <w:t>. Vähempakkumises täpsustatakse pakkumise</w:t>
      </w:r>
      <w:r w:rsidR="005726EC" w:rsidRPr="00BE4FCB">
        <w:t xml:space="preserve"> </w:t>
      </w:r>
      <w:r w:rsidRPr="00BE4FCB">
        <w:t>hind ning muud olulised majanduslikud parameetrid</w:t>
      </w:r>
      <w:r w:rsidR="00693EA1" w:rsidRPr="00BE4FCB">
        <w:t xml:space="preserve">. </w:t>
      </w:r>
      <w:r w:rsidRPr="00BE4FCB">
        <w:t xml:space="preserve">Vähempakkumist esitamise periood kestab </w:t>
      </w:r>
      <w:r w:rsidR="00E2707D">
        <w:t>kaks kuud</w:t>
      </w:r>
      <w:r w:rsidRPr="00BE4FCB">
        <w:t>.</w:t>
      </w:r>
    </w:p>
    <w:p w14:paraId="4571653C" w14:textId="52159A50" w:rsidR="00693EA1" w:rsidRDefault="00693EA1" w:rsidP="00612147">
      <w:pPr>
        <w:jc w:val="both"/>
      </w:pPr>
      <w:r w:rsidRPr="00BE4FCB">
        <w:t xml:space="preserve">Pärast pakkumiste tähtaja möödumist </w:t>
      </w:r>
      <w:r w:rsidR="0023269D" w:rsidRPr="00BE4FCB">
        <w:t xml:space="preserve">selgitatakse käesolevas dokumendis välja toodud põhimõtete kohaselt välja odavaim viis Eesti </w:t>
      </w:r>
      <w:r w:rsidR="00641FCA" w:rsidRPr="00BE4FCB">
        <w:t xml:space="preserve">süsteemi võimekuse </w:t>
      </w:r>
      <w:r w:rsidR="0023269D" w:rsidRPr="00BE4FCB">
        <w:t xml:space="preserve">probleemi lahendamiseks ning edukaks osutunud võimsusepakkujad. Vastavad tulemused kuulutatakse välja </w:t>
      </w:r>
      <w:r w:rsidR="000F0DCB" w:rsidRPr="009228F8">
        <w:t>3</w:t>
      </w:r>
      <w:r w:rsidR="000F0DCB" w:rsidRPr="00BE4FCB">
        <w:t xml:space="preserve"> </w:t>
      </w:r>
      <w:r w:rsidRPr="00BE4FCB">
        <w:t>kuu jooksul</w:t>
      </w:r>
      <w:r w:rsidR="005726EC">
        <w:t xml:space="preserve"> pärast pakkumise esitamise tähtaega. Visuaalselt kirjeldab võimsusmehhanismi vähempakkumise ja sellega seonduvate tegevuste </w:t>
      </w:r>
      <w:r w:rsidR="00BE4FCB">
        <w:t xml:space="preserve">indikatiivset </w:t>
      </w:r>
      <w:r w:rsidR="005726EC">
        <w:t>ajakava alljärgnev joonis.</w:t>
      </w:r>
      <w:r w:rsidR="00B757E1">
        <w:t xml:space="preserve"> Kirjelduses on jäetud lahtiseks reservvõimsuste ettevalmistamise periood, mis sõltub süsteemi võimekuse probleemi akuutsusest.</w:t>
      </w:r>
    </w:p>
    <w:tbl>
      <w:tblPr>
        <w:tblW w:w="7326" w:type="dxa"/>
        <w:tblCellMar>
          <w:left w:w="70" w:type="dxa"/>
          <w:right w:w="70" w:type="dxa"/>
        </w:tblCellMar>
        <w:tblLook w:val="04A0" w:firstRow="1" w:lastRow="0" w:firstColumn="1" w:lastColumn="0" w:noHBand="0" w:noVBand="1"/>
      </w:tblPr>
      <w:tblGrid>
        <w:gridCol w:w="1840"/>
        <w:gridCol w:w="280"/>
        <w:gridCol w:w="280"/>
        <w:gridCol w:w="280"/>
        <w:gridCol w:w="280"/>
        <w:gridCol w:w="280"/>
        <w:gridCol w:w="280"/>
        <w:gridCol w:w="280"/>
        <w:gridCol w:w="280"/>
        <w:gridCol w:w="280"/>
        <w:gridCol w:w="303"/>
        <w:gridCol w:w="303"/>
        <w:gridCol w:w="303"/>
        <w:gridCol w:w="968"/>
        <w:gridCol w:w="326"/>
        <w:gridCol w:w="925"/>
      </w:tblGrid>
      <w:tr w:rsidR="00B757E1" w:rsidRPr="0023269D" w14:paraId="7A341EF6" w14:textId="77777777" w:rsidTr="00B757E1">
        <w:trPr>
          <w:trHeight w:val="315"/>
        </w:trPr>
        <w:tc>
          <w:tcPr>
            <w:tcW w:w="1840" w:type="dxa"/>
            <w:tcBorders>
              <w:top w:val="nil"/>
              <w:left w:val="nil"/>
              <w:bottom w:val="nil"/>
              <w:right w:val="nil"/>
            </w:tcBorders>
            <w:shd w:val="clear" w:color="auto" w:fill="auto"/>
            <w:noWrap/>
            <w:vAlign w:val="bottom"/>
            <w:hideMark/>
          </w:tcPr>
          <w:p w14:paraId="4D0DB73A" w14:textId="77777777" w:rsidR="00B757E1" w:rsidRPr="0023269D" w:rsidRDefault="00B757E1" w:rsidP="00612147">
            <w:pPr>
              <w:spacing w:after="0" w:line="240" w:lineRule="auto"/>
              <w:jc w:val="both"/>
              <w:rPr>
                <w:rFonts w:ascii="Times New Roman" w:eastAsia="Times New Roman" w:hAnsi="Times New Roman" w:cs="Times New Roman"/>
                <w:sz w:val="24"/>
                <w:szCs w:val="24"/>
                <w:lang w:eastAsia="et-EE"/>
              </w:rPr>
            </w:pPr>
          </w:p>
        </w:tc>
        <w:tc>
          <w:tcPr>
            <w:tcW w:w="280" w:type="dxa"/>
            <w:tcBorders>
              <w:top w:val="nil"/>
              <w:left w:val="nil"/>
              <w:bottom w:val="nil"/>
              <w:right w:val="nil"/>
            </w:tcBorders>
            <w:shd w:val="clear" w:color="auto" w:fill="auto"/>
            <w:noWrap/>
            <w:vAlign w:val="bottom"/>
            <w:hideMark/>
          </w:tcPr>
          <w:p w14:paraId="223AFC2C" w14:textId="77777777" w:rsidR="00B757E1" w:rsidRPr="0023269D" w:rsidRDefault="00B757E1" w:rsidP="00612147">
            <w:pPr>
              <w:spacing w:after="0" w:line="240" w:lineRule="auto"/>
              <w:jc w:val="both"/>
              <w:rPr>
                <w:rFonts w:ascii="Times New Roman" w:eastAsia="Times New Roman" w:hAnsi="Times New Roman" w:cs="Times New Roman"/>
                <w:sz w:val="20"/>
                <w:szCs w:val="20"/>
                <w:lang w:eastAsia="et-EE"/>
              </w:rPr>
            </w:pPr>
          </w:p>
        </w:tc>
        <w:tc>
          <w:tcPr>
            <w:tcW w:w="280" w:type="dxa"/>
            <w:tcBorders>
              <w:top w:val="nil"/>
              <w:left w:val="nil"/>
              <w:bottom w:val="nil"/>
              <w:right w:val="nil"/>
            </w:tcBorders>
            <w:shd w:val="clear" w:color="auto" w:fill="auto"/>
            <w:noWrap/>
            <w:vAlign w:val="bottom"/>
            <w:hideMark/>
          </w:tcPr>
          <w:p w14:paraId="4BE8DE21" w14:textId="77777777" w:rsidR="00B757E1" w:rsidRPr="0023269D" w:rsidRDefault="00B757E1" w:rsidP="00612147">
            <w:pPr>
              <w:spacing w:after="0" w:line="240" w:lineRule="auto"/>
              <w:jc w:val="both"/>
              <w:rPr>
                <w:rFonts w:ascii="Times New Roman" w:eastAsia="Times New Roman" w:hAnsi="Times New Roman" w:cs="Times New Roman"/>
                <w:sz w:val="20"/>
                <w:szCs w:val="20"/>
                <w:lang w:eastAsia="et-EE"/>
              </w:rPr>
            </w:pPr>
          </w:p>
        </w:tc>
        <w:tc>
          <w:tcPr>
            <w:tcW w:w="280" w:type="dxa"/>
            <w:tcBorders>
              <w:top w:val="nil"/>
              <w:left w:val="nil"/>
              <w:bottom w:val="nil"/>
              <w:right w:val="nil"/>
            </w:tcBorders>
            <w:shd w:val="clear" w:color="auto" w:fill="auto"/>
            <w:noWrap/>
            <w:vAlign w:val="bottom"/>
            <w:hideMark/>
          </w:tcPr>
          <w:p w14:paraId="3F9E7008" w14:textId="77777777" w:rsidR="00B757E1" w:rsidRPr="0023269D" w:rsidRDefault="00B757E1" w:rsidP="00612147">
            <w:pPr>
              <w:spacing w:after="0" w:line="240" w:lineRule="auto"/>
              <w:jc w:val="both"/>
              <w:rPr>
                <w:rFonts w:ascii="Times New Roman" w:eastAsia="Times New Roman" w:hAnsi="Times New Roman" w:cs="Times New Roman"/>
                <w:sz w:val="20"/>
                <w:szCs w:val="20"/>
                <w:lang w:eastAsia="et-EE"/>
              </w:rPr>
            </w:pPr>
          </w:p>
        </w:tc>
        <w:tc>
          <w:tcPr>
            <w:tcW w:w="280" w:type="dxa"/>
            <w:tcBorders>
              <w:top w:val="nil"/>
              <w:left w:val="nil"/>
              <w:bottom w:val="nil"/>
              <w:right w:val="nil"/>
            </w:tcBorders>
            <w:shd w:val="clear" w:color="auto" w:fill="auto"/>
            <w:noWrap/>
            <w:vAlign w:val="bottom"/>
            <w:hideMark/>
          </w:tcPr>
          <w:p w14:paraId="3C3CA6CB" w14:textId="77777777" w:rsidR="00B757E1" w:rsidRPr="0023269D" w:rsidRDefault="00B757E1" w:rsidP="00612147">
            <w:pPr>
              <w:spacing w:after="0" w:line="240" w:lineRule="auto"/>
              <w:jc w:val="both"/>
              <w:rPr>
                <w:rFonts w:ascii="Times New Roman" w:eastAsia="Times New Roman" w:hAnsi="Times New Roman" w:cs="Times New Roman"/>
                <w:sz w:val="20"/>
                <w:szCs w:val="20"/>
                <w:lang w:eastAsia="et-EE"/>
              </w:rPr>
            </w:pPr>
          </w:p>
        </w:tc>
        <w:tc>
          <w:tcPr>
            <w:tcW w:w="280" w:type="dxa"/>
            <w:tcBorders>
              <w:top w:val="nil"/>
              <w:left w:val="nil"/>
              <w:bottom w:val="nil"/>
              <w:right w:val="nil"/>
            </w:tcBorders>
            <w:shd w:val="clear" w:color="auto" w:fill="auto"/>
            <w:noWrap/>
            <w:vAlign w:val="bottom"/>
            <w:hideMark/>
          </w:tcPr>
          <w:p w14:paraId="7DD782F3" w14:textId="77777777" w:rsidR="00B757E1" w:rsidRPr="0023269D" w:rsidRDefault="00B757E1" w:rsidP="00612147">
            <w:pPr>
              <w:spacing w:after="0" w:line="240" w:lineRule="auto"/>
              <w:jc w:val="both"/>
              <w:rPr>
                <w:rFonts w:ascii="Times New Roman" w:eastAsia="Times New Roman" w:hAnsi="Times New Roman" w:cs="Times New Roman"/>
                <w:sz w:val="20"/>
                <w:szCs w:val="20"/>
                <w:lang w:eastAsia="et-EE"/>
              </w:rPr>
            </w:pPr>
          </w:p>
        </w:tc>
        <w:tc>
          <w:tcPr>
            <w:tcW w:w="280" w:type="dxa"/>
            <w:tcBorders>
              <w:top w:val="nil"/>
              <w:left w:val="nil"/>
              <w:bottom w:val="nil"/>
              <w:right w:val="nil"/>
            </w:tcBorders>
            <w:shd w:val="clear" w:color="auto" w:fill="auto"/>
            <w:noWrap/>
            <w:vAlign w:val="bottom"/>
            <w:hideMark/>
          </w:tcPr>
          <w:p w14:paraId="4FC78FE0" w14:textId="77777777" w:rsidR="00B757E1" w:rsidRPr="0023269D" w:rsidRDefault="00B757E1" w:rsidP="00612147">
            <w:pPr>
              <w:spacing w:after="0" w:line="240" w:lineRule="auto"/>
              <w:jc w:val="both"/>
              <w:rPr>
                <w:rFonts w:ascii="Times New Roman" w:eastAsia="Times New Roman" w:hAnsi="Times New Roman" w:cs="Times New Roman"/>
                <w:sz w:val="20"/>
                <w:szCs w:val="20"/>
                <w:lang w:eastAsia="et-EE"/>
              </w:rPr>
            </w:pPr>
          </w:p>
        </w:tc>
        <w:tc>
          <w:tcPr>
            <w:tcW w:w="280" w:type="dxa"/>
            <w:tcBorders>
              <w:top w:val="nil"/>
              <w:left w:val="nil"/>
              <w:bottom w:val="nil"/>
              <w:right w:val="nil"/>
            </w:tcBorders>
            <w:shd w:val="clear" w:color="auto" w:fill="auto"/>
            <w:noWrap/>
            <w:vAlign w:val="bottom"/>
            <w:hideMark/>
          </w:tcPr>
          <w:p w14:paraId="35E757EC" w14:textId="77777777" w:rsidR="00B757E1" w:rsidRPr="0023269D" w:rsidRDefault="00B757E1" w:rsidP="00612147">
            <w:pPr>
              <w:spacing w:after="0" w:line="240" w:lineRule="auto"/>
              <w:jc w:val="both"/>
              <w:rPr>
                <w:rFonts w:ascii="Times New Roman" w:eastAsia="Times New Roman" w:hAnsi="Times New Roman" w:cs="Times New Roman"/>
                <w:sz w:val="20"/>
                <w:szCs w:val="20"/>
                <w:lang w:eastAsia="et-EE"/>
              </w:rPr>
            </w:pPr>
          </w:p>
        </w:tc>
        <w:tc>
          <w:tcPr>
            <w:tcW w:w="280" w:type="dxa"/>
            <w:tcBorders>
              <w:top w:val="nil"/>
              <w:left w:val="nil"/>
              <w:bottom w:val="nil"/>
              <w:right w:val="nil"/>
            </w:tcBorders>
            <w:shd w:val="clear" w:color="auto" w:fill="auto"/>
            <w:noWrap/>
            <w:vAlign w:val="bottom"/>
            <w:hideMark/>
          </w:tcPr>
          <w:p w14:paraId="0724C085" w14:textId="77777777" w:rsidR="00B757E1" w:rsidRPr="0023269D" w:rsidRDefault="00B757E1" w:rsidP="00612147">
            <w:pPr>
              <w:spacing w:after="0" w:line="240" w:lineRule="auto"/>
              <w:jc w:val="both"/>
              <w:rPr>
                <w:rFonts w:ascii="Times New Roman" w:eastAsia="Times New Roman" w:hAnsi="Times New Roman" w:cs="Times New Roman"/>
                <w:sz w:val="20"/>
                <w:szCs w:val="20"/>
                <w:lang w:eastAsia="et-EE"/>
              </w:rPr>
            </w:pPr>
          </w:p>
        </w:tc>
        <w:tc>
          <w:tcPr>
            <w:tcW w:w="280" w:type="dxa"/>
            <w:tcBorders>
              <w:top w:val="nil"/>
              <w:left w:val="nil"/>
              <w:bottom w:val="nil"/>
              <w:right w:val="nil"/>
            </w:tcBorders>
            <w:shd w:val="clear" w:color="auto" w:fill="auto"/>
            <w:noWrap/>
            <w:vAlign w:val="bottom"/>
            <w:hideMark/>
          </w:tcPr>
          <w:p w14:paraId="27FA623E" w14:textId="77777777" w:rsidR="00B757E1" w:rsidRPr="0023269D" w:rsidRDefault="00B757E1" w:rsidP="00612147">
            <w:pPr>
              <w:spacing w:after="0" w:line="240" w:lineRule="auto"/>
              <w:jc w:val="both"/>
              <w:rPr>
                <w:rFonts w:ascii="Times New Roman" w:eastAsia="Times New Roman" w:hAnsi="Times New Roman" w:cs="Times New Roman"/>
                <w:sz w:val="20"/>
                <w:szCs w:val="20"/>
                <w:lang w:eastAsia="et-EE"/>
              </w:rPr>
            </w:pPr>
          </w:p>
        </w:tc>
        <w:tc>
          <w:tcPr>
            <w:tcW w:w="303" w:type="dxa"/>
            <w:tcBorders>
              <w:top w:val="nil"/>
              <w:left w:val="nil"/>
              <w:bottom w:val="nil"/>
              <w:right w:val="nil"/>
            </w:tcBorders>
            <w:shd w:val="clear" w:color="auto" w:fill="auto"/>
            <w:noWrap/>
            <w:vAlign w:val="bottom"/>
            <w:hideMark/>
          </w:tcPr>
          <w:p w14:paraId="4B97B9A4" w14:textId="77777777" w:rsidR="00B757E1" w:rsidRPr="0023269D" w:rsidRDefault="00B757E1" w:rsidP="00612147">
            <w:pPr>
              <w:spacing w:after="0" w:line="240" w:lineRule="auto"/>
              <w:jc w:val="both"/>
              <w:rPr>
                <w:rFonts w:ascii="Times New Roman" w:eastAsia="Times New Roman" w:hAnsi="Times New Roman" w:cs="Times New Roman"/>
                <w:sz w:val="20"/>
                <w:szCs w:val="20"/>
                <w:lang w:eastAsia="et-EE"/>
              </w:rPr>
            </w:pPr>
          </w:p>
        </w:tc>
        <w:tc>
          <w:tcPr>
            <w:tcW w:w="303" w:type="dxa"/>
            <w:tcBorders>
              <w:top w:val="nil"/>
              <w:left w:val="nil"/>
              <w:bottom w:val="nil"/>
              <w:right w:val="nil"/>
            </w:tcBorders>
            <w:shd w:val="clear" w:color="auto" w:fill="auto"/>
            <w:noWrap/>
            <w:vAlign w:val="bottom"/>
            <w:hideMark/>
          </w:tcPr>
          <w:p w14:paraId="16B9AF9B" w14:textId="77777777" w:rsidR="00B757E1" w:rsidRPr="0023269D" w:rsidRDefault="00B757E1" w:rsidP="00612147">
            <w:pPr>
              <w:spacing w:after="0" w:line="240" w:lineRule="auto"/>
              <w:jc w:val="both"/>
              <w:rPr>
                <w:rFonts w:ascii="Times New Roman" w:eastAsia="Times New Roman" w:hAnsi="Times New Roman" w:cs="Times New Roman"/>
                <w:sz w:val="20"/>
                <w:szCs w:val="20"/>
                <w:lang w:eastAsia="et-EE"/>
              </w:rPr>
            </w:pPr>
          </w:p>
        </w:tc>
        <w:tc>
          <w:tcPr>
            <w:tcW w:w="303" w:type="dxa"/>
            <w:tcBorders>
              <w:top w:val="nil"/>
              <w:left w:val="nil"/>
              <w:bottom w:val="nil"/>
              <w:right w:val="nil"/>
            </w:tcBorders>
            <w:shd w:val="clear" w:color="auto" w:fill="auto"/>
            <w:noWrap/>
            <w:vAlign w:val="bottom"/>
            <w:hideMark/>
          </w:tcPr>
          <w:p w14:paraId="6C929DC7" w14:textId="77777777" w:rsidR="00B757E1" w:rsidRPr="0023269D" w:rsidRDefault="00B757E1" w:rsidP="00612147">
            <w:pPr>
              <w:spacing w:after="0" w:line="240" w:lineRule="auto"/>
              <w:jc w:val="both"/>
              <w:rPr>
                <w:rFonts w:ascii="Times New Roman" w:eastAsia="Times New Roman" w:hAnsi="Times New Roman" w:cs="Times New Roman"/>
                <w:sz w:val="20"/>
                <w:szCs w:val="20"/>
                <w:lang w:eastAsia="et-EE"/>
              </w:rPr>
            </w:pPr>
          </w:p>
        </w:tc>
        <w:tc>
          <w:tcPr>
            <w:tcW w:w="968" w:type="dxa"/>
            <w:tcBorders>
              <w:top w:val="nil"/>
              <w:left w:val="nil"/>
              <w:bottom w:val="nil"/>
              <w:right w:val="single" w:sz="18" w:space="0" w:color="FF0000"/>
            </w:tcBorders>
            <w:shd w:val="clear" w:color="auto" w:fill="auto"/>
            <w:noWrap/>
            <w:vAlign w:val="bottom"/>
            <w:hideMark/>
          </w:tcPr>
          <w:p w14:paraId="4FBBDEA4" w14:textId="77777777" w:rsidR="00B757E1" w:rsidRPr="0023269D" w:rsidRDefault="00B757E1" w:rsidP="00612147">
            <w:pPr>
              <w:spacing w:after="0" w:line="240" w:lineRule="auto"/>
              <w:jc w:val="both"/>
              <w:rPr>
                <w:rFonts w:ascii="Times New Roman" w:eastAsia="Times New Roman" w:hAnsi="Times New Roman" w:cs="Times New Roman"/>
                <w:sz w:val="20"/>
                <w:szCs w:val="20"/>
                <w:lang w:eastAsia="et-EE"/>
              </w:rPr>
            </w:pPr>
          </w:p>
        </w:tc>
        <w:tc>
          <w:tcPr>
            <w:tcW w:w="1089" w:type="dxa"/>
            <w:gridSpan w:val="2"/>
            <w:tcBorders>
              <w:top w:val="nil"/>
              <w:left w:val="single" w:sz="18" w:space="0" w:color="FF0000"/>
              <w:bottom w:val="nil"/>
              <w:right w:val="nil"/>
            </w:tcBorders>
            <w:shd w:val="clear" w:color="auto" w:fill="auto"/>
            <w:noWrap/>
            <w:vAlign w:val="bottom"/>
            <w:hideMark/>
          </w:tcPr>
          <w:p w14:paraId="7F124027"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Varustuskindluse probleem</w:t>
            </w:r>
          </w:p>
        </w:tc>
      </w:tr>
      <w:tr w:rsidR="00B757E1" w:rsidRPr="0023269D" w14:paraId="79567FB1" w14:textId="77777777" w:rsidTr="00B757E1">
        <w:trPr>
          <w:trHeight w:val="300"/>
        </w:trPr>
        <w:tc>
          <w:tcPr>
            <w:tcW w:w="18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C94BAE1"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Aasta</w:t>
            </w:r>
          </w:p>
        </w:tc>
        <w:tc>
          <w:tcPr>
            <w:tcW w:w="3429" w:type="dxa"/>
            <w:gridSpan w:val="12"/>
            <w:tcBorders>
              <w:top w:val="single" w:sz="8" w:space="0" w:color="auto"/>
              <w:left w:val="nil"/>
              <w:bottom w:val="single" w:sz="4" w:space="0" w:color="auto"/>
              <w:right w:val="single" w:sz="4" w:space="0" w:color="auto"/>
            </w:tcBorders>
            <w:shd w:val="clear" w:color="auto" w:fill="auto"/>
            <w:noWrap/>
            <w:vAlign w:val="bottom"/>
            <w:hideMark/>
          </w:tcPr>
          <w:p w14:paraId="30D218CA" w14:textId="13E81694" w:rsidR="00B757E1" w:rsidRPr="0023269D" w:rsidRDefault="00B757E1" w:rsidP="00612147">
            <w:pPr>
              <w:spacing w:after="0" w:line="240" w:lineRule="auto"/>
              <w:jc w:val="both"/>
              <w:rPr>
                <w:rFonts w:ascii="Calibri" w:eastAsia="Times New Roman" w:hAnsi="Calibri" w:cs="Calibri"/>
                <w:b/>
                <w:bCs/>
                <w:color w:val="000000"/>
                <w:sz w:val="16"/>
                <w:szCs w:val="16"/>
                <w:lang w:eastAsia="et-EE"/>
              </w:rPr>
            </w:pPr>
            <w:r w:rsidRPr="0023269D">
              <w:rPr>
                <w:rFonts w:ascii="Calibri" w:eastAsia="Times New Roman" w:hAnsi="Calibri" w:cs="Calibri"/>
                <w:b/>
                <w:bCs/>
                <w:color w:val="000000"/>
                <w:sz w:val="16"/>
                <w:szCs w:val="16"/>
                <w:lang w:eastAsia="et-EE"/>
              </w:rPr>
              <w:t>Y-</w:t>
            </w:r>
            <w:r>
              <w:rPr>
                <w:rFonts w:ascii="Calibri" w:eastAsia="Times New Roman" w:hAnsi="Calibri" w:cs="Calibri"/>
                <w:b/>
                <w:bCs/>
                <w:color w:val="000000"/>
                <w:sz w:val="16"/>
                <w:szCs w:val="16"/>
                <w:lang w:eastAsia="et-EE"/>
              </w:rPr>
              <w:t xml:space="preserve">(1 kuni </w:t>
            </w:r>
            <w:r w:rsidRPr="0023269D">
              <w:rPr>
                <w:rFonts w:ascii="Calibri" w:eastAsia="Times New Roman" w:hAnsi="Calibri" w:cs="Calibri"/>
                <w:b/>
                <w:bCs/>
                <w:color w:val="000000"/>
                <w:sz w:val="16"/>
                <w:szCs w:val="16"/>
                <w:lang w:eastAsia="et-EE"/>
              </w:rPr>
              <w:t>5</w:t>
            </w:r>
            <w:r>
              <w:rPr>
                <w:rFonts w:ascii="Calibri" w:eastAsia="Times New Roman" w:hAnsi="Calibri" w:cs="Calibri"/>
                <w:b/>
                <w:bCs/>
                <w:color w:val="000000"/>
                <w:sz w:val="16"/>
                <w:szCs w:val="16"/>
                <w:lang w:eastAsia="et-EE"/>
              </w:rPr>
              <w:t>)</w:t>
            </w:r>
          </w:p>
        </w:tc>
        <w:tc>
          <w:tcPr>
            <w:tcW w:w="968" w:type="dxa"/>
            <w:tcBorders>
              <w:top w:val="single" w:sz="8" w:space="0" w:color="auto"/>
              <w:left w:val="nil"/>
              <w:bottom w:val="single" w:sz="4" w:space="0" w:color="auto"/>
              <w:right w:val="single" w:sz="18" w:space="0" w:color="FF0000"/>
            </w:tcBorders>
            <w:shd w:val="clear" w:color="auto" w:fill="auto"/>
            <w:noWrap/>
            <w:vAlign w:val="bottom"/>
            <w:hideMark/>
          </w:tcPr>
          <w:p w14:paraId="070DC910" w14:textId="7BF4F174" w:rsidR="00B757E1" w:rsidRPr="0023269D" w:rsidRDefault="00B757E1" w:rsidP="00612147">
            <w:pPr>
              <w:spacing w:after="0" w:line="240" w:lineRule="auto"/>
              <w:jc w:val="both"/>
              <w:rPr>
                <w:rFonts w:ascii="Calibri" w:eastAsia="Times New Roman" w:hAnsi="Calibri" w:cs="Calibri"/>
                <w:b/>
                <w:bCs/>
                <w:color w:val="000000"/>
                <w:sz w:val="16"/>
                <w:szCs w:val="16"/>
                <w:lang w:eastAsia="et-EE"/>
              </w:rPr>
            </w:pPr>
            <w:r w:rsidRPr="0023269D">
              <w:rPr>
                <w:rFonts w:ascii="Calibri" w:eastAsia="Times New Roman" w:hAnsi="Calibri" w:cs="Calibri"/>
                <w:b/>
                <w:bCs/>
                <w:color w:val="000000"/>
                <w:sz w:val="16"/>
                <w:szCs w:val="16"/>
                <w:lang w:eastAsia="et-EE"/>
              </w:rPr>
              <w:t>Y-</w:t>
            </w:r>
            <w:r>
              <w:rPr>
                <w:rFonts w:ascii="Calibri" w:eastAsia="Times New Roman" w:hAnsi="Calibri" w:cs="Calibri"/>
                <w:b/>
                <w:bCs/>
                <w:color w:val="000000"/>
                <w:sz w:val="16"/>
                <w:szCs w:val="16"/>
                <w:lang w:eastAsia="et-EE"/>
              </w:rPr>
              <w:t xml:space="preserve">(1 kuni </w:t>
            </w:r>
            <w:r w:rsidRPr="0023269D">
              <w:rPr>
                <w:rFonts w:ascii="Calibri" w:eastAsia="Times New Roman" w:hAnsi="Calibri" w:cs="Calibri"/>
                <w:b/>
                <w:bCs/>
                <w:color w:val="000000"/>
                <w:sz w:val="16"/>
                <w:szCs w:val="16"/>
                <w:lang w:eastAsia="et-EE"/>
              </w:rPr>
              <w:t>4</w:t>
            </w:r>
            <w:r>
              <w:rPr>
                <w:rFonts w:ascii="Calibri" w:eastAsia="Times New Roman" w:hAnsi="Calibri" w:cs="Calibri"/>
                <w:b/>
                <w:bCs/>
                <w:color w:val="000000"/>
                <w:sz w:val="16"/>
                <w:szCs w:val="16"/>
                <w:lang w:eastAsia="et-EE"/>
              </w:rPr>
              <w:t>)</w:t>
            </w:r>
          </w:p>
        </w:tc>
        <w:tc>
          <w:tcPr>
            <w:tcW w:w="284" w:type="dxa"/>
            <w:tcBorders>
              <w:top w:val="single" w:sz="8" w:space="0" w:color="auto"/>
              <w:left w:val="single" w:sz="18" w:space="0" w:color="FF0000"/>
              <w:bottom w:val="single" w:sz="4" w:space="0" w:color="auto"/>
              <w:right w:val="single" w:sz="4" w:space="0" w:color="auto"/>
            </w:tcBorders>
            <w:shd w:val="clear" w:color="auto" w:fill="auto"/>
            <w:noWrap/>
            <w:vAlign w:val="bottom"/>
            <w:hideMark/>
          </w:tcPr>
          <w:p w14:paraId="6B19F27E" w14:textId="77777777" w:rsidR="00B757E1" w:rsidRPr="00B757E1" w:rsidRDefault="00B757E1" w:rsidP="00612147">
            <w:pPr>
              <w:spacing w:after="0" w:line="240" w:lineRule="auto"/>
              <w:jc w:val="both"/>
              <w:rPr>
                <w:rFonts w:ascii="Calibri" w:eastAsia="Times New Roman" w:hAnsi="Calibri" w:cs="Calibri"/>
                <w:b/>
                <w:bCs/>
                <w:sz w:val="16"/>
                <w:szCs w:val="16"/>
                <w:lang w:eastAsia="et-EE"/>
              </w:rPr>
            </w:pPr>
            <w:r w:rsidRPr="00B757E1">
              <w:rPr>
                <w:rFonts w:ascii="Calibri" w:eastAsia="Times New Roman" w:hAnsi="Calibri" w:cs="Calibri"/>
                <w:b/>
                <w:bCs/>
                <w:sz w:val="16"/>
                <w:szCs w:val="16"/>
                <w:lang w:eastAsia="et-EE"/>
              </w:rPr>
              <w:t>Y</w:t>
            </w:r>
          </w:p>
        </w:tc>
        <w:tc>
          <w:tcPr>
            <w:tcW w:w="805" w:type="dxa"/>
            <w:tcBorders>
              <w:top w:val="single" w:sz="8" w:space="0" w:color="auto"/>
              <w:left w:val="nil"/>
              <w:bottom w:val="single" w:sz="4" w:space="0" w:color="auto"/>
              <w:right w:val="single" w:sz="8" w:space="0" w:color="auto"/>
            </w:tcBorders>
            <w:shd w:val="clear" w:color="auto" w:fill="auto"/>
            <w:noWrap/>
            <w:vAlign w:val="bottom"/>
            <w:hideMark/>
          </w:tcPr>
          <w:p w14:paraId="5D78AB75" w14:textId="77777777" w:rsidR="00B757E1" w:rsidRPr="0023269D" w:rsidRDefault="00B757E1" w:rsidP="00612147">
            <w:pPr>
              <w:spacing w:after="0" w:line="240" w:lineRule="auto"/>
              <w:jc w:val="both"/>
              <w:rPr>
                <w:rFonts w:ascii="Calibri" w:eastAsia="Times New Roman" w:hAnsi="Calibri" w:cs="Calibri"/>
                <w:b/>
                <w:bCs/>
                <w:color w:val="000000"/>
                <w:sz w:val="16"/>
                <w:szCs w:val="16"/>
                <w:lang w:eastAsia="et-EE"/>
              </w:rPr>
            </w:pPr>
            <w:r w:rsidRPr="0023269D">
              <w:rPr>
                <w:rFonts w:ascii="Calibri" w:eastAsia="Times New Roman" w:hAnsi="Calibri" w:cs="Calibri"/>
                <w:b/>
                <w:bCs/>
                <w:color w:val="000000"/>
                <w:sz w:val="16"/>
                <w:szCs w:val="16"/>
                <w:lang w:eastAsia="et-EE"/>
              </w:rPr>
              <w:t>Y+1 ..</w:t>
            </w:r>
          </w:p>
        </w:tc>
      </w:tr>
      <w:tr w:rsidR="00B757E1" w:rsidRPr="0023269D" w14:paraId="6FBDE6A5" w14:textId="77777777" w:rsidTr="00B757E1">
        <w:trPr>
          <w:trHeight w:val="315"/>
        </w:trPr>
        <w:tc>
          <w:tcPr>
            <w:tcW w:w="1840" w:type="dxa"/>
            <w:tcBorders>
              <w:top w:val="nil"/>
              <w:left w:val="single" w:sz="8" w:space="0" w:color="auto"/>
              <w:bottom w:val="single" w:sz="8" w:space="0" w:color="auto"/>
              <w:right w:val="single" w:sz="4" w:space="0" w:color="auto"/>
            </w:tcBorders>
            <w:shd w:val="clear" w:color="auto" w:fill="auto"/>
            <w:noWrap/>
            <w:vAlign w:val="bottom"/>
            <w:hideMark/>
          </w:tcPr>
          <w:p w14:paraId="066DA17D"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Tegevus           \            Kuu</w:t>
            </w:r>
          </w:p>
        </w:tc>
        <w:tc>
          <w:tcPr>
            <w:tcW w:w="280" w:type="dxa"/>
            <w:tcBorders>
              <w:top w:val="nil"/>
              <w:left w:val="nil"/>
              <w:bottom w:val="single" w:sz="8" w:space="0" w:color="auto"/>
              <w:right w:val="single" w:sz="4" w:space="0" w:color="auto"/>
            </w:tcBorders>
            <w:shd w:val="clear" w:color="auto" w:fill="auto"/>
            <w:noWrap/>
            <w:vAlign w:val="bottom"/>
            <w:hideMark/>
          </w:tcPr>
          <w:p w14:paraId="36D8F960" w14:textId="77777777" w:rsidR="00B757E1" w:rsidRPr="0023269D" w:rsidRDefault="00B757E1" w:rsidP="00612147">
            <w:pPr>
              <w:spacing w:after="0" w:line="240" w:lineRule="auto"/>
              <w:jc w:val="both"/>
              <w:rPr>
                <w:rFonts w:ascii="Calibri" w:eastAsia="Times New Roman" w:hAnsi="Calibri" w:cs="Calibri"/>
                <w:b/>
                <w:bCs/>
                <w:color w:val="000000"/>
                <w:sz w:val="16"/>
                <w:szCs w:val="16"/>
                <w:lang w:eastAsia="et-EE"/>
              </w:rPr>
            </w:pPr>
            <w:r w:rsidRPr="0023269D">
              <w:rPr>
                <w:rFonts w:ascii="Calibri" w:eastAsia="Times New Roman" w:hAnsi="Calibri" w:cs="Calibri"/>
                <w:b/>
                <w:bCs/>
                <w:color w:val="000000"/>
                <w:sz w:val="16"/>
                <w:szCs w:val="16"/>
                <w:lang w:eastAsia="et-EE"/>
              </w:rPr>
              <w:t>1</w:t>
            </w:r>
          </w:p>
        </w:tc>
        <w:tc>
          <w:tcPr>
            <w:tcW w:w="280" w:type="dxa"/>
            <w:tcBorders>
              <w:top w:val="nil"/>
              <w:left w:val="nil"/>
              <w:bottom w:val="single" w:sz="8" w:space="0" w:color="auto"/>
              <w:right w:val="single" w:sz="4" w:space="0" w:color="auto"/>
            </w:tcBorders>
            <w:shd w:val="clear" w:color="auto" w:fill="auto"/>
            <w:noWrap/>
            <w:vAlign w:val="bottom"/>
            <w:hideMark/>
          </w:tcPr>
          <w:p w14:paraId="3CE39DDC" w14:textId="77777777" w:rsidR="00B757E1" w:rsidRPr="0023269D" w:rsidRDefault="00B757E1" w:rsidP="00612147">
            <w:pPr>
              <w:spacing w:after="0" w:line="240" w:lineRule="auto"/>
              <w:jc w:val="both"/>
              <w:rPr>
                <w:rFonts w:ascii="Calibri" w:eastAsia="Times New Roman" w:hAnsi="Calibri" w:cs="Calibri"/>
                <w:b/>
                <w:bCs/>
                <w:color w:val="000000"/>
                <w:sz w:val="16"/>
                <w:szCs w:val="16"/>
                <w:lang w:eastAsia="et-EE"/>
              </w:rPr>
            </w:pPr>
            <w:r w:rsidRPr="0023269D">
              <w:rPr>
                <w:rFonts w:ascii="Calibri" w:eastAsia="Times New Roman" w:hAnsi="Calibri" w:cs="Calibri"/>
                <w:b/>
                <w:bCs/>
                <w:color w:val="000000"/>
                <w:sz w:val="16"/>
                <w:szCs w:val="16"/>
                <w:lang w:eastAsia="et-EE"/>
              </w:rPr>
              <w:t>2</w:t>
            </w:r>
          </w:p>
        </w:tc>
        <w:tc>
          <w:tcPr>
            <w:tcW w:w="280" w:type="dxa"/>
            <w:tcBorders>
              <w:top w:val="nil"/>
              <w:left w:val="nil"/>
              <w:bottom w:val="single" w:sz="8" w:space="0" w:color="auto"/>
              <w:right w:val="single" w:sz="4" w:space="0" w:color="auto"/>
            </w:tcBorders>
            <w:shd w:val="clear" w:color="auto" w:fill="auto"/>
            <w:noWrap/>
            <w:vAlign w:val="bottom"/>
            <w:hideMark/>
          </w:tcPr>
          <w:p w14:paraId="032BCD6D" w14:textId="77777777" w:rsidR="00B757E1" w:rsidRPr="0023269D" w:rsidRDefault="00B757E1" w:rsidP="00612147">
            <w:pPr>
              <w:spacing w:after="0" w:line="240" w:lineRule="auto"/>
              <w:jc w:val="both"/>
              <w:rPr>
                <w:rFonts w:ascii="Calibri" w:eastAsia="Times New Roman" w:hAnsi="Calibri" w:cs="Calibri"/>
                <w:b/>
                <w:bCs/>
                <w:color w:val="000000"/>
                <w:sz w:val="16"/>
                <w:szCs w:val="16"/>
                <w:lang w:eastAsia="et-EE"/>
              </w:rPr>
            </w:pPr>
            <w:r w:rsidRPr="0023269D">
              <w:rPr>
                <w:rFonts w:ascii="Calibri" w:eastAsia="Times New Roman" w:hAnsi="Calibri" w:cs="Calibri"/>
                <w:b/>
                <w:bCs/>
                <w:color w:val="000000"/>
                <w:sz w:val="16"/>
                <w:szCs w:val="16"/>
                <w:lang w:eastAsia="et-EE"/>
              </w:rPr>
              <w:t>3</w:t>
            </w:r>
          </w:p>
        </w:tc>
        <w:tc>
          <w:tcPr>
            <w:tcW w:w="280" w:type="dxa"/>
            <w:tcBorders>
              <w:top w:val="nil"/>
              <w:left w:val="nil"/>
              <w:bottom w:val="single" w:sz="8" w:space="0" w:color="auto"/>
              <w:right w:val="single" w:sz="4" w:space="0" w:color="auto"/>
            </w:tcBorders>
            <w:shd w:val="clear" w:color="auto" w:fill="auto"/>
            <w:noWrap/>
            <w:vAlign w:val="bottom"/>
            <w:hideMark/>
          </w:tcPr>
          <w:p w14:paraId="42749388" w14:textId="77777777" w:rsidR="00B757E1" w:rsidRPr="0023269D" w:rsidRDefault="00B757E1" w:rsidP="00612147">
            <w:pPr>
              <w:spacing w:after="0" w:line="240" w:lineRule="auto"/>
              <w:jc w:val="both"/>
              <w:rPr>
                <w:rFonts w:ascii="Calibri" w:eastAsia="Times New Roman" w:hAnsi="Calibri" w:cs="Calibri"/>
                <w:b/>
                <w:bCs/>
                <w:color w:val="000000"/>
                <w:sz w:val="16"/>
                <w:szCs w:val="16"/>
                <w:lang w:eastAsia="et-EE"/>
              </w:rPr>
            </w:pPr>
            <w:r w:rsidRPr="0023269D">
              <w:rPr>
                <w:rFonts w:ascii="Calibri" w:eastAsia="Times New Roman" w:hAnsi="Calibri" w:cs="Calibri"/>
                <w:b/>
                <w:bCs/>
                <w:color w:val="000000"/>
                <w:sz w:val="16"/>
                <w:szCs w:val="16"/>
                <w:lang w:eastAsia="et-EE"/>
              </w:rPr>
              <w:t>4</w:t>
            </w:r>
          </w:p>
        </w:tc>
        <w:tc>
          <w:tcPr>
            <w:tcW w:w="280" w:type="dxa"/>
            <w:tcBorders>
              <w:top w:val="nil"/>
              <w:left w:val="nil"/>
              <w:bottom w:val="single" w:sz="8" w:space="0" w:color="auto"/>
              <w:right w:val="single" w:sz="4" w:space="0" w:color="auto"/>
            </w:tcBorders>
            <w:shd w:val="clear" w:color="auto" w:fill="auto"/>
            <w:noWrap/>
            <w:vAlign w:val="bottom"/>
            <w:hideMark/>
          </w:tcPr>
          <w:p w14:paraId="0D4CA672" w14:textId="77777777" w:rsidR="00B757E1" w:rsidRPr="0023269D" w:rsidRDefault="00B757E1" w:rsidP="00612147">
            <w:pPr>
              <w:spacing w:after="0" w:line="240" w:lineRule="auto"/>
              <w:jc w:val="both"/>
              <w:rPr>
                <w:rFonts w:ascii="Calibri" w:eastAsia="Times New Roman" w:hAnsi="Calibri" w:cs="Calibri"/>
                <w:b/>
                <w:bCs/>
                <w:color w:val="000000"/>
                <w:sz w:val="16"/>
                <w:szCs w:val="16"/>
                <w:lang w:eastAsia="et-EE"/>
              </w:rPr>
            </w:pPr>
            <w:r w:rsidRPr="0023269D">
              <w:rPr>
                <w:rFonts w:ascii="Calibri" w:eastAsia="Times New Roman" w:hAnsi="Calibri" w:cs="Calibri"/>
                <w:b/>
                <w:bCs/>
                <w:color w:val="000000"/>
                <w:sz w:val="16"/>
                <w:szCs w:val="16"/>
                <w:lang w:eastAsia="et-EE"/>
              </w:rPr>
              <w:t>5</w:t>
            </w:r>
          </w:p>
        </w:tc>
        <w:tc>
          <w:tcPr>
            <w:tcW w:w="280" w:type="dxa"/>
            <w:tcBorders>
              <w:top w:val="nil"/>
              <w:left w:val="nil"/>
              <w:bottom w:val="single" w:sz="8" w:space="0" w:color="auto"/>
              <w:right w:val="single" w:sz="4" w:space="0" w:color="auto"/>
            </w:tcBorders>
            <w:shd w:val="clear" w:color="auto" w:fill="auto"/>
            <w:noWrap/>
            <w:vAlign w:val="bottom"/>
            <w:hideMark/>
          </w:tcPr>
          <w:p w14:paraId="509A2C52" w14:textId="77777777" w:rsidR="00B757E1" w:rsidRPr="0023269D" w:rsidRDefault="00B757E1" w:rsidP="00612147">
            <w:pPr>
              <w:spacing w:after="0" w:line="240" w:lineRule="auto"/>
              <w:jc w:val="both"/>
              <w:rPr>
                <w:rFonts w:ascii="Calibri" w:eastAsia="Times New Roman" w:hAnsi="Calibri" w:cs="Calibri"/>
                <w:b/>
                <w:bCs/>
                <w:color w:val="000000"/>
                <w:sz w:val="16"/>
                <w:szCs w:val="16"/>
                <w:lang w:eastAsia="et-EE"/>
              </w:rPr>
            </w:pPr>
            <w:r w:rsidRPr="0023269D">
              <w:rPr>
                <w:rFonts w:ascii="Calibri" w:eastAsia="Times New Roman" w:hAnsi="Calibri" w:cs="Calibri"/>
                <w:b/>
                <w:bCs/>
                <w:color w:val="000000"/>
                <w:sz w:val="16"/>
                <w:szCs w:val="16"/>
                <w:lang w:eastAsia="et-EE"/>
              </w:rPr>
              <w:t>6</w:t>
            </w:r>
          </w:p>
        </w:tc>
        <w:tc>
          <w:tcPr>
            <w:tcW w:w="280" w:type="dxa"/>
            <w:tcBorders>
              <w:top w:val="nil"/>
              <w:left w:val="nil"/>
              <w:bottom w:val="single" w:sz="8" w:space="0" w:color="auto"/>
              <w:right w:val="single" w:sz="4" w:space="0" w:color="auto"/>
            </w:tcBorders>
            <w:shd w:val="clear" w:color="auto" w:fill="auto"/>
            <w:noWrap/>
            <w:vAlign w:val="bottom"/>
            <w:hideMark/>
          </w:tcPr>
          <w:p w14:paraId="45A31583" w14:textId="77777777" w:rsidR="00B757E1" w:rsidRPr="0023269D" w:rsidRDefault="00B757E1" w:rsidP="00612147">
            <w:pPr>
              <w:spacing w:after="0" w:line="240" w:lineRule="auto"/>
              <w:jc w:val="both"/>
              <w:rPr>
                <w:rFonts w:ascii="Calibri" w:eastAsia="Times New Roman" w:hAnsi="Calibri" w:cs="Calibri"/>
                <w:b/>
                <w:bCs/>
                <w:color w:val="000000"/>
                <w:sz w:val="16"/>
                <w:szCs w:val="16"/>
                <w:lang w:eastAsia="et-EE"/>
              </w:rPr>
            </w:pPr>
            <w:r w:rsidRPr="0023269D">
              <w:rPr>
                <w:rFonts w:ascii="Calibri" w:eastAsia="Times New Roman" w:hAnsi="Calibri" w:cs="Calibri"/>
                <w:b/>
                <w:bCs/>
                <w:color w:val="000000"/>
                <w:sz w:val="16"/>
                <w:szCs w:val="16"/>
                <w:lang w:eastAsia="et-EE"/>
              </w:rPr>
              <w:t>7</w:t>
            </w:r>
          </w:p>
        </w:tc>
        <w:tc>
          <w:tcPr>
            <w:tcW w:w="280" w:type="dxa"/>
            <w:tcBorders>
              <w:top w:val="nil"/>
              <w:left w:val="nil"/>
              <w:bottom w:val="single" w:sz="8" w:space="0" w:color="auto"/>
              <w:right w:val="single" w:sz="4" w:space="0" w:color="auto"/>
            </w:tcBorders>
            <w:shd w:val="clear" w:color="auto" w:fill="auto"/>
            <w:noWrap/>
            <w:vAlign w:val="bottom"/>
            <w:hideMark/>
          </w:tcPr>
          <w:p w14:paraId="1C7D269F" w14:textId="77777777" w:rsidR="00B757E1" w:rsidRPr="0023269D" w:rsidRDefault="00B757E1" w:rsidP="00612147">
            <w:pPr>
              <w:spacing w:after="0" w:line="240" w:lineRule="auto"/>
              <w:jc w:val="both"/>
              <w:rPr>
                <w:rFonts w:ascii="Calibri" w:eastAsia="Times New Roman" w:hAnsi="Calibri" w:cs="Calibri"/>
                <w:b/>
                <w:bCs/>
                <w:color w:val="000000"/>
                <w:sz w:val="16"/>
                <w:szCs w:val="16"/>
                <w:lang w:eastAsia="et-EE"/>
              </w:rPr>
            </w:pPr>
            <w:r w:rsidRPr="0023269D">
              <w:rPr>
                <w:rFonts w:ascii="Calibri" w:eastAsia="Times New Roman" w:hAnsi="Calibri" w:cs="Calibri"/>
                <w:b/>
                <w:bCs/>
                <w:color w:val="000000"/>
                <w:sz w:val="16"/>
                <w:szCs w:val="16"/>
                <w:lang w:eastAsia="et-EE"/>
              </w:rPr>
              <w:t>8</w:t>
            </w:r>
          </w:p>
        </w:tc>
        <w:tc>
          <w:tcPr>
            <w:tcW w:w="280" w:type="dxa"/>
            <w:tcBorders>
              <w:top w:val="nil"/>
              <w:left w:val="nil"/>
              <w:bottom w:val="single" w:sz="8" w:space="0" w:color="auto"/>
              <w:right w:val="single" w:sz="4" w:space="0" w:color="auto"/>
            </w:tcBorders>
            <w:shd w:val="clear" w:color="auto" w:fill="auto"/>
            <w:noWrap/>
            <w:vAlign w:val="bottom"/>
            <w:hideMark/>
          </w:tcPr>
          <w:p w14:paraId="083F680C" w14:textId="77777777" w:rsidR="00B757E1" w:rsidRPr="0023269D" w:rsidRDefault="00B757E1" w:rsidP="00612147">
            <w:pPr>
              <w:spacing w:after="0" w:line="240" w:lineRule="auto"/>
              <w:jc w:val="both"/>
              <w:rPr>
                <w:rFonts w:ascii="Calibri" w:eastAsia="Times New Roman" w:hAnsi="Calibri" w:cs="Calibri"/>
                <w:b/>
                <w:bCs/>
                <w:color w:val="000000"/>
                <w:sz w:val="16"/>
                <w:szCs w:val="16"/>
                <w:lang w:eastAsia="et-EE"/>
              </w:rPr>
            </w:pPr>
            <w:r w:rsidRPr="0023269D">
              <w:rPr>
                <w:rFonts w:ascii="Calibri" w:eastAsia="Times New Roman" w:hAnsi="Calibri" w:cs="Calibri"/>
                <w:b/>
                <w:bCs/>
                <w:color w:val="000000"/>
                <w:sz w:val="16"/>
                <w:szCs w:val="16"/>
                <w:lang w:eastAsia="et-EE"/>
              </w:rPr>
              <w:t>9</w:t>
            </w:r>
          </w:p>
        </w:tc>
        <w:tc>
          <w:tcPr>
            <w:tcW w:w="303" w:type="dxa"/>
            <w:tcBorders>
              <w:top w:val="nil"/>
              <w:left w:val="nil"/>
              <w:bottom w:val="single" w:sz="8" w:space="0" w:color="auto"/>
              <w:right w:val="single" w:sz="4" w:space="0" w:color="auto"/>
            </w:tcBorders>
            <w:shd w:val="clear" w:color="auto" w:fill="auto"/>
            <w:noWrap/>
            <w:vAlign w:val="bottom"/>
            <w:hideMark/>
          </w:tcPr>
          <w:p w14:paraId="03875660" w14:textId="77777777" w:rsidR="00B757E1" w:rsidRPr="0023269D" w:rsidRDefault="00B757E1" w:rsidP="00612147">
            <w:pPr>
              <w:spacing w:after="0" w:line="240" w:lineRule="auto"/>
              <w:jc w:val="both"/>
              <w:rPr>
                <w:rFonts w:ascii="Calibri" w:eastAsia="Times New Roman" w:hAnsi="Calibri" w:cs="Calibri"/>
                <w:b/>
                <w:bCs/>
                <w:color w:val="000000"/>
                <w:sz w:val="16"/>
                <w:szCs w:val="16"/>
                <w:lang w:eastAsia="et-EE"/>
              </w:rPr>
            </w:pPr>
            <w:r w:rsidRPr="0023269D">
              <w:rPr>
                <w:rFonts w:ascii="Calibri" w:eastAsia="Times New Roman" w:hAnsi="Calibri" w:cs="Calibri"/>
                <w:b/>
                <w:bCs/>
                <w:color w:val="000000"/>
                <w:sz w:val="16"/>
                <w:szCs w:val="16"/>
                <w:lang w:eastAsia="et-EE"/>
              </w:rPr>
              <w:t>10</w:t>
            </w:r>
          </w:p>
        </w:tc>
        <w:tc>
          <w:tcPr>
            <w:tcW w:w="303" w:type="dxa"/>
            <w:tcBorders>
              <w:top w:val="nil"/>
              <w:left w:val="nil"/>
              <w:bottom w:val="single" w:sz="8" w:space="0" w:color="auto"/>
              <w:right w:val="single" w:sz="4" w:space="0" w:color="auto"/>
            </w:tcBorders>
            <w:shd w:val="clear" w:color="auto" w:fill="auto"/>
            <w:noWrap/>
            <w:vAlign w:val="bottom"/>
            <w:hideMark/>
          </w:tcPr>
          <w:p w14:paraId="7A095552" w14:textId="77777777" w:rsidR="00B757E1" w:rsidRPr="0023269D" w:rsidRDefault="00B757E1" w:rsidP="00612147">
            <w:pPr>
              <w:spacing w:after="0" w:line="240" w:lineRule="auto"/>
              <w:jc w:val="both"/>
              <w:rPr>
                <w:rFonts w:ascii="Calibri" w:eastAsia="Times New Roman" w:hAnsi="Calibri" w:cs="Calibri"/>
                <w:b/>
                <w:bCs/>
                <w:color w:val="000000"/>
                <w:sz w:val="16"/>
                <w:szCs w:val="16"/>
                <w:lang w:eastAsia="et-EE"/>
              </w:rPr>
            </w:pPr>
            <w:r w:rsidRPr="0023269D">
              <w:rPr>
                <w:rFonts w:ascii="Calibri" w:eastAsia="Times New Roman" w:hAnsi="Calibri" w:cs="Calibri"/>
                <w:b/>
                <w:bCs/>
                <w:color w:val="000000"/>
                <w:sz w:val="16"/>
                <w:szCs w:val="16"/>
                <w:lang w:eastAsia="et-EE"/>
              </w:rPr>
              <w:t>11</w:t>
            </w:r>
          </w:p>
        </w:tc>
        <w:tc>
          <w:tcPr>
            <w:tcW w:w="303" w:type="dxa"/>
            <w:tcBorders>
              <w:top w:val="nil"/>
              <w:left w:val="nil"/>
              <w:bottom w:val="single" w:sz="8" w:space="0" w:color="auto"/>
              <w:right w:val="single" w:sz="4" w:space="0" w:color="auto"/>
            </w:tcBorders>
            <w:shd w:val="clear" w:color="auto" w:fill="auto"/>
            <w:noWrap/>
            <w:vAlign w:val="bottom"/>
            <w:hideMark/>
          </w:tcPr>
          <w:p w14:paraId="531B30AF" w14:textId="77777777" w:rsidR="00B757E1" w:rsidRPr="0023269D" w:rsidRDefault="00B757E1" w:rsidP="00612147">
            <w:pPr>
              <w:spacing w:after="0" w:line="240" w:lineRule="auto"/>
              <w:jc w:val="both"/>
              <w:rPr>
                <w:rFonts w:ascii="Calibri" w:eastAsia="Times New Roman" w:hAnsi="Calibri" w:cs="Calibri"/>
                <w:b/>
                <w:bCs/>
                <w:color w:val="000000"/>
                <w:sz w:val="16"/>
                <w:szCs w:val="16"/>
                <w:lang w:eastAsia="et-EE"/>
              </w:rPr>
            </w:pPr>
            <w:r w:rsidRPr="0023269D">
              <w:rPr>
                <w:rFonts w:ascii="Calibri" w:eastAsia="Times New Roman" w:hAnsi="Calibri" w:cs="Calibri"/>
                <w:b/>
                <w:bCs/>
                <w:color w:val="000000"/>
                <w:sz w:val="16"/>
                <w:szCs w:val="16"/>
                <w:lang w:eastAsia="et-EE"/>
              </w:rPr>
              <w:t>12</w:t>
            </w:r>
          </w:p>
        </w:tc>
        <w:tc>
          <w:tcPr>
            <w:tcW w:w="968" w:type="dxa"/>
            <w:tcBorders>
              <w:top w:val="nil"/>
              <w:left w:val="nil"/>
              <w:bottom w:val="single" w:sz="8" w:space="0" w:color="auto"/>
              <w:right w:val="single" w:sz="18" w:space="0" w:color="FF0000"/>
            </w:tcBorders>
            <w:shd w:val="clear" w:color="auto" w:fill="auto"/>
            <w:noWrap/>
            <w:vAlign w:val="bottom"/>
            <w:hideMark/>
          </w:tcPr>
          <w:p w14:paraId="55279A31" w14:textId="77777777" w:rsidR="00B757E1" w:rsidRPr="0023269D" w:rsidRDefault="00B757E1" w:rsidP="00612147">
            <w:pPr>
              <w:spacing w:after="0" w:line="240" w:lineRule="auto"/>
              <w:jc w:val="both"/>
              <w:rPr>
                <w:rFonts w:ascii="Calibri" w:eastAsia="Times New Roman" w:hAnsi="Calibri" w:cs="Calibri"/>
                <w:b/>
                <w:bCs/>
                <w:color w:val="000000"/>
                <w:sz w:val="16"/>
                <w:szCs w:val="16"/>
                <w:lang w:eastAsia="et-EE"/>
              </w:rPr>
            </w:pPr>
            <w:r w:rsidRPr="0023269D">
              <w:rPr>
                <w:rFonts w:ascii="Calibri" w:eastAsia="Times New Roman" w:hAnsi="Calibri" w:cs="Calibri"/>
                <w:b/>
                <w:bCs/>
                <w:color w:val="000000"/>
                <w:sz w:val="16"/>
                <w:szCs w:val="16"/>
                <w:lang w:eastAsia="et-EE"/>
              </w:rPr>
              <w:t> </w:t>
            </w:r>
          </w:p>
        </w:tc>
        <w:tc>
          <w:tcPr>
            <w:tcW w:w="284" w:type="dxa"/>
            <w:tcBorders>
              <w:top w:val="nil"/>
              <w:left w:val="single" w:sz="18" w:space="0" w:color="FF0000"/>
              <w:bottom w:val="single" w:sz="8" w:space="0" w:color="auto"/>
              <w:right w:val="single" w:sz="4" w:space="0" w:color="auto"/>
            </w:tcBorders>
            <w:shd w:val="clear" w:color="auto" w:fill="auto"/>
            <w:noWrap/>
            <w:vAlign w:val="bottom"/>
            <w:hideMark/>
          </w:tcPr>
          <w:p w14:paraId="7CB8DE5B" w14:textId="77777777" w:rsidR="00B757E1" w:rsidRPr="00B757E1" w:rsidRDefault="00B757E1" w:rsidP="00612147">
            <w:pPr>
              <w:spacing w:after="0" w:line="240" w:lineRule="auto"/>
              <w:jc w:val="both"/>
              <w:rPr>
                <w:rFonts w:ascii="Calibri" w:eastAsia="Times New Roman" w:hAnsi="Calibri" w:cs="Calibri"/>
                <w:b/>
                <w:bCs/>
                <w:sz w:val="16"/>
                <w:szCs w:val="16"/>
                <w:lang w:eastAsia="et-EE"/>
              </w:rPr>
            </w:pPr>
            <w:r w:rsidRPr="00B757E1">
              <w:rPr>
                <w:rFonts w:ascii="Calibri" w:eastAsia="Times New Roman" w:hAnsi="Calibri" w:cs="Calibri"/>
                <w:b/>
                <w:bCs/>
                <w:sz w:val="16"/>
                <w:szCs w:val="16"/>
                <w:lang w:eastAsia="et-EE"/>
              </w:rPr>
              <w:t> </w:t>
            </w:r>
          </w:p>
        </w:tc>
        <w:tc>
          <w:tcPr>
            <w:tcW w:w="805" w:type="dxa"/>
            <w:tcBorders>
              <w:top w:val="nil"/>
              <w:left w:val="nil"/>
              <w:bottom w:val="single" w:sz="8" w:space="0" w:color="auto"/>
              <w:right w:val="single" w:sz="8" w:space="0" w:color="auto"/>
            </w:tcBorders>
            <w:shd w:val="clear" w:color="auto" w:fill="auto"/>
            <w:noWrap/>
            <w:vAlign w:val="bottom"/>
            <w:hideMark/>
          </w:tcPr>
          <w:p w14:paraId="5B373375" w14:textId="77777777" w:rsidR="00B757E1" w:rsidRPr="0023269D" w:rsidRDefault="00B757E1" w:rsidP="00612147">
            <w:pPr>
              <w:spacing w:after="0" w:line="240" w:lineRule="auto"/>
              <w:jc w:val="both"/>
              <w:rPr>
                <w:rFonts w:ascii="Calibri" w:eastAsia="Times New Roman" w:hAnsi="Calibri" w:cs="Calibri"/>
                <w:b/>
                <w:bCs/>
                <w:color w:val="000000"/>
                <w:sz w:val="16"/>
                <w:szCs w:val="16"/>
                <w:lang w:eastAsia="et-EE"/>
              </w:rPr>
            </w:pPr>
            <w:r w:rsidRPr="0023269D">
              <w:rPr>
                <w:rFonts w:ascii="Calibri" w:eastAsia="Times New Roman" w:hAnsi="Calibri" w:cs="Calibri"/>
                <w:b/>
                <w:bCs/>
                <w:color w:val="000000"/>
                <w:sz w:val="16"/>
                <w:szCs w:val="16"/>
                <w:lang w:eastAsia="et-EE"/>
              </w:rPr>
              <w:t> </w:t>
            </w:r>
          </w:p>
        </w:tc>
      </w:tr>
      <w:tr w:rsidR="00B757E1" w:rsidRPr="0023269D" w14:paraId="1F67AEA2" w14:textId="77777777" w:rsidTr="00B757E1">
        <w:trPr>
          <w:trHeight w:val="540"/>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63462B4B"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Teade vähempakkumise korraldamisest</w:t>
            </w:r>
          </w:p>
        </w:tc>
        <w:tc>
          <w:tcPr>
            <w:tcW w:w="280" w:type="dxa"/>
            <w:tcBorders>
              <w:top w:val="nil"/>
              <w:left w:val="nil"/>
              <w:bottom w:val="single" w:sz="4" w:space="0" w:color="auto"/>
              <w:right w:val="single" w:sz="4" w:space="0" w:color="auto"/>
            </w:tcBorders>
            <w:shd w:val="clear" w:color="000000" w:fill="BDD7EE"/>
            <w:noWrap/>
            <w:vAlign w:val="bottom"/>
            <w:hideMark/>
          </w:tcPr>
          <w:p w14:paraId="15F7D70E"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000000" w:fill="BDD7EE"/>
            <w:noWrap/>
            <w:vAlign w:val="bottom"/>
            <w:hideMark/>
          </w:tcPr>
          <w:p w14:paraId="600202C2"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000000" w:fill="BDD7EE"/>
            <w:noWrap/>
            <w:vAlign w:val="bottom"/>
            <w:hideMark/>
          </w:tcPr>
          <w:p w14:paraId="4830C20A"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auto" w:fill="auto"/>
            <w:noWrap/>
            <w:vAlign w:val="bottom"/>
            <w:hideMark/>
          </w:tcPr>
          <w:p w14:paraId="1190D340"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auto" w:fill="auto"/>
            <w:noWrap/>
            <w:vAlign w:val="bottom"/>
            <w:hideMark/>
          </w:tcPr>
          <w:p w14:paraId="7C04FB03"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auto" w:fill="auto"/>
            <w:noWrap/>
            <w:vAlign w:val="bottom"/>
            <w:hideMark/>
          </w:tcPr>
          <w:p w14:paraId="661EAE34"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auto" w:fill="auto"/>
            <w:noWrap/>
            <w:vAlign w:val="bottom"/>
            <w:hideMark/>
          </w:tcPr>
          <w:p w14:paraId="420DF481"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auto" w:fill="auto"/>
            <w:noWrap/>
            <w:vAlign w:val="bottom"/>
            <w:hideMark/>
          </w:tcPr>
          <w:p w14:paraId="2C69DD1E"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auto" w:fill="auto"/>
            <w:noWrap/>
            <w:vAlign w:val="bottom"/>
            <w:hideMark/>
          </w:tcPr>
          <w:p w14:paraId="7454A315"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303" w:type="dxa"/>
            <w:tcBorders>
              <w:top w:val="nil"/>
              <w:left w:val="nil"/>
              <w:bottom w:val="single" w:sz="4" w:space="0" w:color="auto"/>
              <w:right w:val="single" w:sz="4" w:space="0" w:color="auto"/>
            </w:tcBorders>
            <w:shd w:val="clear" w:color="auto" w:fill="auto"/>
            <w:noWrap/>
            <w:vAlign w:val="bottom"/>
            <w:hideMark/>
          </w:tcPr>
          <w:p w14:paraId="6E015F00"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303" w:type="dxa"/>
            <w:tcBorders>
              <w:top w:val="nil"/>
              <w:left w:val="nil"/>
              <w:bottom w:val="single" w:sz="4" w:space="0" w:color="auto"/>
              <w:right w:val="single" w:sz="4" w:space="0" w:color="auto"/>
            </w:tcBorders>
            <w:shd w:val="clear" w:color="auto" w:fill="auto"/>
            <w:noWrap/>
            <w:vAlign w:val="bottom"/>
            <w:hideMark/>
          </w:tcPr>
          <w:p w14:paraId="45A6854D"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303" w:type="dxa"/>
            <w:tcBorders>
              <w:top w:val="nil"/>
              <w:left w:val="nil"/>
              <w:bottom w:val="single" w:sz="4" w:space="0" w:color="auto"/>
              <w:right w:val="single" w:sz="4" w:space="0" w:color="auto"/>
            </w:tcBorders>
            <w:shd w:val="clear" w:color="auto" w:fill="auto"/>
            <w:noWrap/>
            <w:vAlign w:val="bottom"/>
            <w:hideMark/>
          </w:tcPr>
          <w:p w14:paraId="2054B005"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968" w:type="dxa"/>
            <w:tcBorders>
              <w:top w:val="nil"/>
              <w:left w:val="nil"/>
              <w:bottom w:val="single" w:sz="4" w:space="0" w:color="auto"/>
              <w:right w:val="single" w:sz="18" w:space="0" w:color="FF0000"/>
            </w:tcBorders>
            <w:shd w:val="clear" w:color="auto" w:fill="auto"/>
            <w:noWrap/>
            <w:vAlign w:val="bottom"/>
            <w:hideMark/>
          </w:tcPr>
          <w:p w14:paraId="6BF16982"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4" w:type="dxa"/>
            <w:tcBorders>
              <w:top w:val="nil"/>
              <w:left w:val="single" w:sz="18" w:space="0" w:color="FF0000"/>
              <w:bottom w:val="single" w:sz="4" w:space="0" w:color="auto"/>
              <w:right w:val="single" w:sz="4" w:space="0" w:color="auto"/>
            </w:tcBorders>
            <w:shd w:val="clear" w:color="auto" w:fill="auto"/>
            <w:noWrap/>
            <w:vAlign w:val="bottom"/>
            <w:hideMark/>
          </w:tcPr>
          <w:p w14:paraId="0AA5C973" w14:textId="77777777" w:rsidR="00B757E1" w:rsidRPr="00B757E1" w:rsidRDefault="00B757E1" w:rsidP="00612147">
            <w:pPr>
              <w:spacing w:after="0" w:line="240" w:lineRule="auto"/>
              <w:jc w:val="both"/>
              <w:rPr>
                <w:rFonts w:ascii="Calibri" w:eastAsia="Times New Roman" w:hAnsi="Calibri" w:cs="Calibri"/>
                <w:sz w:val="16"/>
                <w:szCs w:val="16"/>
                <w:lang w:eastAsia="et-EE"/>
              </w:rPr>
            </w:pPr>
            <w:r w:rsidRPr="00B757E1">
              <w:rPr>
                <w:rFonts w:ascii="Calibri" w:eastAsia="Times New Roman" w:hAnsi="Calibri" w:cs="Calibri"/>
                <w:sz w:val="16"/>
                <w:szCs w:val="16"/>
                <w:lang w:eastAsia="et-EE"/>
              </w:rPr>
              <w:t> </w:t>
            </w:r>
          </w:p>
        </w:tc>
        <w:tc>
          <w:tcPr>
            <w:tcW w:w="805" w:type="dxa"/>
            <w:tcBorders>
              <w:top w:val="nil"/>
              <w:left w:val="nil"/>
              <w:bottom w:val="single" w:sz="4" w:space="0" w:color="auto"/>
              <w:right w:val="single" w:sz="8" w:space="0" w:color="auto"/>
            </w:tcBorders>
            <w:shd w:val="clear" w:color="auto" w:fill="auto"/>
            <w:noWrap/>
            <w:vAlign w:val="bottom"/>
            <w:hideMark/>
          </w:tcPr>
          <w:p w14:paraId="152DF6F4"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r>
      <w:tr w:rsidR="00B757E1" w:rsidRPr="0023269D" w14:paraId="1D359FEE" w14:textId="77777777" w:rsidTr="00E2707D">
        <w:trPr>
          <w:trHeight w:val="465"/>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67A334F9"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Võimsusepakkujate eelkvalifitseerimine</w:t>
            </w:r>
          </w:p>
        </w:tc>
        <w:tc>
          <w:tcPr>
            <w:tcW w:w="280" w:type="dxa"/>
            <w:tcBorders>
              <w:top w:val="nil"/>
              <w:left w:val="nil"/>
              <w:bottom w:val="single" w:sz="4" w:space="0" w:color="auto"/>
              <w:right w:val="single" w:sz="4" w:space="0" w:color="auto"/>
            </w:tcBorders>
            <w:shd w:val="clear" w:color="auto" w:fill="auto"/>
            <w:noWrap/>
            <w:vAlign w:val="bottom"/>
            <w:hideMark/>
          </w:tcPr>
          <w:p w14:paraId="7B34102A"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auto" w:fill="auto"/>
            <w:noWrap/>
            <w:vAlign w:val="bottom"/>
            <w:hideMark/>
          </w:tcPr>
          <w:p w14:paraId="175D280D"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auto" w:fill="auto"/>
            <w:noWrap/>
            <w:vAlign w:val="bottom"/>
            <w:hideMark/>
          </w:tcPr>
          <w:p w14:paraId="6BD639E3"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000000" w:fill="BDD7EE"/>
            <w:noWrap/>
            <w:vAlign w:val="bottom"/>
            <w:hideMark/>
          </w:tcPr>
          <w:p w14:paraId="14779807"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000000" w:fill="BDD7EE"/>
            <w:noWrap/>
            <w:vAlign w:val="bottom"/>
            <w:hideMark/>
          </w:tcPr>
          <w:p w14:paraId="4B100102"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000000" w:fill="BDD7EE"/>
            <w:noWrap/>
            <w:vAlign w:val="bottom"/>
            <w:hideMark/>
          </w:tcPr>
          <w:p w14:paraId="400399F8"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000000" w:fill="BDD7EE"/>
            <w:noWrap/>
            <w:vAlign w:val="bottom"/>
            <w:hideMark/>
          </w:tcPr>
          <w:p w14:paraId="65369CAD"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auto" w:fill="auto"/>
            <w:noWrap/>
            <w:vAlign w:val="bottom"/>
            <w:hideMark/>
          </w:tcPr>
          <w:p w14:paraId="7B259407"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auto" w:fill="auto"/>
            <w:noWrap/>
            <w:vAlign w:val="bottom"/>
            <w:hideMark/>
          </w:tcPr>
          <w:p w14:paraId="6BACC20F"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303" w:type="dxa"/>
            <w:tcBorders>
              <w:top w:val="nil"/>
              <w:left w:val="nil"/>
              <w:bottom w:val="single" w:sz="4" w:space="0" w:color="auto"/>
              <w:right w:val="single" w:sz="4" w:space="0" w:color="auto"/>
            </w:tcBorders>
            <w:shd w:val="clear" w:color="auto" w:fill="auto"/>
            <w:noWrap/>
            <w:vAlign w:val="bottom"/>
            <w:hideMark/>
          </w:tcPr>
          <w:p w14:paraId="5D9D9A7B"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303" w:type="dxa"/>
            <w:tcBorders>
              <w:top w:val="nil"/>
              <w:left w:val="nil"/>
              <w:bottom w:val="single" w:sz="4" w:space="0" w:color="auto"/>
              <w:right w:val="single" w:sz="4" w:space="0" w:color="auto"/>
            </w:tcBorders>
            <w:shd w:val="clear" w:color="auto" w:fill="auto"/>
            <w:noWrap/>
            <w:vAlign w:val="bottom"/>
            <w:hideMark/>
          </w:tcPr>
          <w:p w14:paraId="023C4338"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303" w:type="dxa"/>
            <w:tcBorders>
              <w:top w:val="nil"/>
              <w:left w:val="nil"/>
              <w:bottom w:val="single" w:sz="4" w:space="0" w:color="auto"/>
              <w:right w:val="single" w:sz="4" w:space="0" w:color="auto"/>
            </w:tcBorders>
            <w:shd w:val="clear" w:color="auto" w:fill="auto"/>
            <w:noWrap/>
            <w:vAlign w:val="bottom"/>
            <w:hideMark/>
          </w:tcPr>
          <w:p w14:paraId="5CEB6959"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968" w:type="dxa"/>
            <w:tcBorders>
              <w:top w:val="nil"/>
              <w:left w:val="nil"/>
              <w:bottom w:val="single" w:sz="4" w:space="0" w:color="auto"/>
              <w:right w:val="single" w:sz="18" w:space="0" w:color="FF0000"/>
            </w:tcBorders>
            <w:shd w:val="clear" w:color="auto" w:fill="auto"/>
            <w:noWrap/>
            <w:vAlign w:val="bottom"/>
            <w:hideMark/>
          </w:tcPr>
          <w:p w14:paraId="4E356967"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4" w:type="dxa"/>
            <w:tcBorders>
              <w:top w:val="nil"/>
              <w:left w:val="single" w:sz="18" w:space="0" w:color="FF0000"/>
              <w:bottom w:val="single" w:sz="4" w:space="0" w:color="auto"/>
              <w:right w:val="single" w:sz="4" w:space="0" w:color="auto"/>
            </w:tcBorders>
            <w:shd w:val="clear" w:color="auto" w:fill="auto"/>
            <w:noWrap/>
            <w:vAlign w:val="bottom"/>
            <w:hideMark/>
          </w:tcPr>
          <w:p w14:paraId="3CD09F3D" w14:textId="77777777" w:rsidR="00B757E1" w:rsidRPr="00B757E1" w:rsidRDefault="00B757E1" w:rsidP="00612147">
            <w:pPr>
              <w:spacing w:after="0" w:line="240" w:lineRule="auto"/>
              <w:jc w:val="both"/>
              <w:rPr>
                <w:rFonts w:ascii="Calibri" w:eastAsia="Times New Roman" w:hAnsi="Calibri" w:cs="Calibri"/>
                <w:sz w:val="16"/>
                <w:szCs w:val="16"/>
                <w:lang w:eastAsia="et-EE"/>
              </w:rPr>
            </w:pPr>
            <w:r w:rsidRPr="00B757E1">
              <w:rPr>
                <w:rFonts w:ascii="Calibri" w:eastAsia="Times New Roman" w:hAnsi="Calibri" w:cs="Calibri"/>
                <w:sz w:val="16"/>
                <w:szCs w:val="16"/>
                <w:lang w:eastAsia="et-EE"/>
              </w:rPr>
              <w:t> </w:t>
            </w:r>
          </w:p>
        </w:tc>
        <w:tc>
          <w:tcPr>
            <w:tcW w:w="805" w:type="dxa"/>
            <w:tcBorders>
              <w:top w:val="nil"/>
              <w:left w:val="nil"/>
              <w:bottom w:val="single" w:sz="4" w:space="0" w:color="auto"/>
              <w:right w:val="single" w:sz="8" w:space="0" w:color="auto"/>
            </w:tcBorders>
            <w:shd w:val="clear" w:color="auto" w:fill="auto"/>
            <w:noWrap/>
            <w:vAlign w:val="bottom"/>
            <w:hideMark/>
          </w:tcPr>
          <w:p w14:paraId="2A79C98B"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r>
      <w:tr w:rsidR="00B757E1" w:rsidRPr="0023269D" w14:paraId="517EC60B" w14:textId="77777777" w:rsidTr="00E2707D">
        <w:trPr>
          <w:trHeight w:val="465"/>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2D453D69"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Vähemapakkumise toimumise aeg</w:t>
            </w:r>
          </w:p>
        </w:tc>
        <w:tc>
          <w:tcPr>
            <w:tcW w:w="280" w:type="dxa"/>
            <w:tcBorders>
              <w:top w:val="nil"/>
              <w:left w:val="nil"/>
              <w:bottom w:val="single" w:sz="4" w:space="0" w:color="auto"/>
              <w:right w:val="single" w:sz="4" w:space="0" w:color="auto"/>
            </w:tcBorders>
            <w:shd w:val="clear" w:color="auto" w:fill="auto"/>
            <w:noWrap/>
            <w:vAlign w:val="bottom"/>
            <w:hideMark/>
          </w:tcPr>
          <w:p w14:paraId="5451B7B7"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auto" w:fill="auto"/>
            <w:noWrap/>
            <w:vAlign w:val="bottom"/>
            <w:hideMark/>
          </w:tcPr>
          <w:p w14:paraId="5E01C7C3"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auto" w:fill="auto"/>
            <w:noWrap/>
            <w:vAlign w:val="bottom"/>
            <w:hideMark/>
          </w:tcPr>
          <w:p w14:paraId="05596D58"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000000" w:fill="FFFFFF"/>
            <w:noWrap/>
            <w:vAlign w:val="bottom"/>
            <w:hideMark/>
          </w:tcPr>
          <w:p w14:paraId="52C472DA"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000000" w:fill="FFFFFF"/>
            <w:noWrap/>
            <w:vAlign w:val="bottom"/>
            <w:hideMark/>
          </w:tcPr>
          <w:p w14:paraId="557703A3"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000000" w:fill="FFFFFF"/>
            <w:noWrap/>
            <w:vAlign w:val="bottom"/>
            <w:hideMark/>
          </w:tcPr>
          <w:p w14:paraId="51D37A60"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000000" w:fill="FFFFFF"/>
            <w:noWrap/>
            <w:vAlign w:val="bottom"/>
            <w:hideMark/>
          </w:tcPr>
          <w:p w14:paraId="390A9FE0"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auto" w:fill="BDD6EE" w:themeFill="accent5" w:themeFillTint="66"/>
            <w:noWrap/>
            <w:vAlign w:val="bottom"/>
            <w:hideMark/>
          </w:tcPr>
          <w:p w14:paraId="67A41689"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auto" w:fill="BDD6EE" w:themeFill="accent5" w:themeFillTint="66"/>
            <w:noWrap/>
            <w:vAlign w:val="bottom"/>
            <w:hideMark/>
          </w:tcPr>
          <w:p w14:paraId="1D016E86"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303" w:type="dxa"/>
            <w:tcBorders>
              <w:top w:val="nil"/>
              <w:left w:val="nil"/>
              <w:bottom w:val="single" w:sz="4" w:space="0" w:color="auto"/>
              <w:right w:val="single" w:sz="4" w:space="0" w:color="auto"/>
            </w:tcBorders>
            <w:shd w:val="clear" w:color="auto" w:fill="auto"/>
            <w:noWrap/>
            <w:vAlign w:val="bottom"/>
            <w:hideMark/>
          </w:tcPr>
          <w:p w14:paraId="5AF9BB9B"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303" w:type="dxa"/>
            <w:tcBorders>
              <w:top w:val="nil"/>
              <w:left w:val="nil"/>
              <w:bottom w:val="single" w:sz="4" w:space="0" w:color="auto"/>
              <w:right w:val="single" w:sz="4" w:space="0" w:color="auto"/>
            </w:tcBorders>
            <w:shd w:val="clear" w:color="auto" w:fill="auto"/>
            <w:noWrap/>
            <w:vAlign w:val="bottom"/>
            <w:hideMark/>
          </w:tcPr>
          <w:p w14:paraId="399F1A9A"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303" w:type="dxa"/>
            <w:tcBorders>
              <w:top w:val="nil"/>
              <w:left w:val="nil"/>
              <w:bottom w:val="single" w:sz="4" w:space="0" w:color="auto"/>
              <w:right w:val="single" w:sz="4" w:space="0" w:color="auto"/>
            </w:tcBorders>
            <w:shd w:val="clear" w:color="auto" w:fill="auto"/>
            <w:noWrap/>
            <w:vAlign w:val="bottom"/>
            <w:hideMark/>
          </w:tcPr>
          <w:p w14:paraId="27CC5200"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968" w:type="dxa"/>
            <w:tcBorders>
              <w:top w:val="nil"/>
              <w:left w:val="nil"/>
              <w:bottom w:val="single" w:sz="4" w:space="0" w:color="auto"/>
              <w:right w:val="single" w:sz="18" w:space="0" w:color="FF0000"/>
            </w:tcBorders>
            <w:shd w:val="clear" w:color="auto" w:fill="auto"/>
            <w:noWrap/>
            <w:vAlign w:val="bottom"/>
            <w:hideMark/>
          </w:tcPr>
          <w:p w14:paraId="64728B7C"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4" w:type="dxa"/>
            <w:tcBorders>
              <w:top w:val="nil"/>
              <w:left w:val="single" w:sz="18" w:space="0" w:color="FF0000"/>
              <w:bottom w:val="single" w:sz="4" w:space="0" w:color="auto"/>
              <w:right w:val="single" w:sz="4" w:space="0" w:color="auto"/>
            </w:tcBorders>
            <w:shd w:val="clear" w:color="auto" w:fill="auto"/>
            <w:noWrap/>
            <w:vAlign w:val="bottom"/>
            <w:hideMark/>
          </w:tcPr>
          <w:p w14:paraId="6606274D" w14:textId="77777777" w:rsidR="00B757E1" w:rsidRPr="00B757E1" w:rsidRDefault="00B757E1" w:rsidP="00612147">
            <w:pPr>
              <w:spacing w:after="0" w:line="240" w:lineRule="auto"/>
              <w:jc w:val="both"/>
              <w:rPr>
                <w:rFonts w:ascii="Calibri" w:eastAsia="Times New Roman" w:hAnsi="Calibri" w:cs="Calibri"/>
                <w:sz w:val="16"/>
                <w:szCs w:val="16"/>
                <w:lang w:eastAsia="et-EE"/>
              </w:rPr>
            </w:pPr>
            <w:r w:rsidRPr="00B757E1">
              <w:rPr>
                <w:rFonts w:ascii="Calibri" w:eastAsia="Times New Roman" w:hAnsi="Calibri" w:cs="Calibri"/>
                <w:sz w:val="16"/>
                <w:szCs w:val="16"/>
                <w:lang w:eastAsia="et-EE"/>
              </w:rPr>
              <w:t> </w:t>
            </w:r>
          </w:p>
        </w:tc>
        <w:tc>
          <w:tcPr>
            <w:tcW w:w="805" w:type="dxa"/>
            <w:tcBorders>
              <w:top w:val="nil"/>
              <w:left w:val="nil"/>
              <w:bottom w:val="single" w:sz="4" w:space="0" w:color="auto"/>
              <w:right w:val="single" w:sz="8" w:space="0" w:color="auto"/>
            </w:tcBorders>
            <w:shd w:val="clear" w:color="auto" w:fill="auto"/>
            <w:noWrap/>
            <w:vAlign w:val="bottom"/>
            <w:hideMark/>
          </w:tcPr>
          <w:p w14:paraId="151E9675"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r>
      <w:tr w:rsidR="00B757E1" w:rsidRPr="0023269D" w14:paraId="0350EA25" w14:textId="77777777" w:rsidTr="00B757E1">
        <w:trPr>
          <w:trHeight w:val="480"/>
        </w:trPr>
        <w:tc>
          <w:tcPr>
            <w:tcW w:w="1840" w:type="dxa"/>
            <w:tcBorders>
              <w:top w:val="nil"/>
              <w:left w:val="single" w:sz="8" w:space="0" w:color="auto"/>
              <w:bottom w:val="single" w:sz="8" w:space="0" w:color="auto"/>
              <w:right w:val="single" w:sz="4" w:space="0" w:color="auto"/>
            </w:tcBorders>
            <w:shd w:val="clear" w:color="auto" w:fill="auto"/>
            <w:vAlign w:val="bottom"/>
            <w:hideMark/>
          </w:tcPr>
          <w:p w14:paraId="07806F0A"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Vähempakkumiste tulemuste hindamine</w:t>
            </w:r>
          </w:p>
        </w:tc>
        <w:tc>
          <w:tcPr>
            <w:tcW w:w="280" w:type="dxa"/>
            <w:tcBorders>
              <w:top w:val="nil"/>
              <w:left w:val="nil"/>
              <w:bottom w:val="single" w:sz="8" w:space="0" w:color="auto"/>
              <w:right w:val="single" w:sz="4" w:space="0" w:color="auto"/>
            </w:tcBorders>
            <w:shd w:val="clear" w:color="auto" w:fill="auto"/>
            <w:noWrap/>
            <w:vAlign w:val="bottom"/>
            <w:hideMark/>
          </w:tcPr>
          <w:p w14:paraId="65307A58"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8" w:space="0" w:color="auto"/>
              <w:right w:val="single" w:sz="4" w:space="0" w:color="auto"/>
            </w:tcBorders>
            <w:shd w:val="clear" w:color="auto" w:fill="auto"/>
            <w:noWrap/>
            <w:vAlign w:val="bottom"/>
            <w:hideMark/>
          </w:tcPr>
          <w:p w14:paraId="0FD26627"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8" w:space="0" w:color="auto"/>
              <w:right w:val="single" w:sz="4" w:space="0" w:color="auto"/>
            </w:tcBorders>
            <w:shd w:val="clear" w:color="auto" w:fill="auto"/>
            <w:noWrap/>
            <w:vAlign w:val="bottom"/>
            <w:hideMark/>
          </w:tcPr>
          <w:p w14:paraId="15A59407"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8" w:space="0" w:color="auto"/>
              <w:right w:val="single" w:sz="4" w:space="0" w:color="auto"/>
            </w:tcBorders>
            <w:shd w:val="clear" w:color="auto" w:fill="auto"/>
            <w:noWrap/>
            <w:vAlign w:val="bottom"/>
            <w:hideMark/>
          </w:tcPr>
          <w:p w14:paraId="0C2C8A51"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8" w:space="0" w:color="auto"/>
              <w:right w:val="single" w:sz="4" w:space="0" w:color="auto"/>
            </w:tcBorders>
            <w:shd w:val="clear" w:color="auto" w:fill="auto"/>
            <w:noWrap/>
            <w:vAlign w:val="bottom"/>
            <w:hideMark/>
          </w:tcPr>
          <w:p w14:paraId="23C2FAA0"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8" w:space="0" w:color="auto"/>
              <w:right w:val="single" w:sz="4" w:space="0" w:color="auto"/>
            </w:tcBorders>
            <w:shd w:val="clear" w:color="auto" w:fill="auto"/>
            <w:noWrap/>
            <w:vAlign w:val="bottom"/>
            <w:hideMark/>
          </w:tcPr>
          <w:p w14:paraId="0A15A49E"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8" w:space="0" w:color="auto"/>
              <w:right w:val="single" w:sz="4" w:space="0" w:color="auto"/>
            </w:tcBorders>
            <w:shd w:val="clear" w:color="auto" w:fill="auto"/>
            <w:noWrap/>
            <w:vAlign w:val="bottom"/>
            <w:hideMark/>
          </w:tcPr>
          <w:p w14:paraId="7B5908BA"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8" w:space="0" w:color="auto"/>
              <w:right w:val="single" w:sz="4" w:space="0" w:color="auto"/>
            </w:tcBorders>
            <w:shd w:val="clear" w:color="auto" w:fill="auto"/>
            <w:noWrap/>
            <w:vAlign w:val="bottom"/>
            <w:hideMark/>
          </w:tcPr>
          <w:p w14:paraId="21B0C4C7"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8" w:space="0" w:color="auto"/>
              <w:right w:val="single" w:sz="4" w:space="0" w:color="auto"/>
            </w:tcBorders>
            <w:shd w:val="clear" w:color="auto" w:fill="auto"/>
            <w:noWrap/>
            <w:vAlign w:val="bottom"/>
            <w:hideMark/>
          </w:tcPr>
          <w:p w14:paraId="1579CDDA"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303" w:type="dxa"/>
            <w:tcBorders>
              <w:top w:val="nil"/>
              <w:left w:val="nil"/>
              <w:bottom w:val="single" w:sz="8" w:space="0" w:color="auto"/>
              <w:right w:val="single" w:sz="4" w:space="0" w:color="auto"/>
            </w:tcBorders>
            <w:shd w:val="clear" w:color="000000" w:fill="BDD7EE"/>
            <w:noWrap/>
            <w:vAlign w:val="bottom"/>
            <w:hideMark/>
          </w:tcPr>
          <w:p w14:paraId="7CDAE993"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303" w:type="dxa"/>
            <w:tcBorders>
              <w:top w:val="nil"/>
              <w:left w:val="nil"/>
              <w:bottom w:val="single" w:sz="8" w:space="0" w:color="auto"/>
              <w:right w:val="single" w:sz="4" w:space="0" w:color="auto"/>
            </w:tcBorders>
            <w:shd w:val="clear" w:color="000000" w:fill="BDD7EE"/>
            <w:noWrap/>
            <w:vAlign w:val="bottom"/>
            <w:hideMark/>
          </w:tcPr>
          <w:p w14:paraId="753FB43F"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303" w:type="dxa"/>
            <w:tcBorders>
              <w:top w:val="nil"/>
              <w:left w:val="nil"/>
              <w:bottom w:val="single" w:sz="8" w:space="0" w:color="auto"/>
              <w:right w:val="single" w:sz="4" w:space="0" w:color="auto"/>
            </w:tcBorders>
            <w:shd w:val="clear" w:color="000000" w:fill="BDD7EE"/>
            <w:noWrap/>
            <w:vAlign w:val="bottom"/>
            <w:hideMark/>
          </w:tcPr>
          <w:p w14:paraId="27F2BADE"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968" w:type="dxa"/>
            <w:tcBorders>
              <w:top w:val="nil"/>
              <w:left w:val="nil"/>
              <w:bottom w:val="single" w:sz="8" w:space="0" w:color="auto"/>
              <w:right w:val="single" w:sz="18" w:space="0" w:color="FF0000"/>
            </w:tcBorders>
            <w:shd w:val="clear" w:color="auto" w:fill="auto"/>
            <w:noWrap/>
            <w:vAlign w:val="bottom"/>
            <w:hideMark/>
          </w:tcPr>
          <w:p w14:paraId="25F7925E"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4" w:type="dxa"/>
            <w:tcBorders>
              <w:top w:val="nil"/>
              <w:left w:val="single" w:sz="18" w:space="0" w:color="FF0000"/>
              <w:bottom w:val="single" w:sz="8" w:space="0" w:color="auto"/>
              <w:right w:val="single" w:sz="4" w:space="0" w:color="auto"/>
            </w:tcBorders>
            <w:shd w:val="clear" w:color="auto" w:fill="auto"/>
            <w:noWrap/>
            <w:vAlign w:val="bottom"/>
            <w:hideMark/>
          </w:tcPr>
          <w:p w14:paraId="651B7D8F" w14:textId="77777777" w:rsidR="00B757E1" w:rsidRPr="00B757E1" w:rsidRDefault="00B757E1" w:rsidP="00612147">
            <w:pPr>
              <w:spacing w:after="0" w:line="240" w:lineRule="auto"/>
              <w:jc w:val="both"/>
              <w:rPr>
                <w:rFonts w:ascii="Calibri" w:eastAsia="Times New Roman" w:hAnsi="Calibri" w:cs="Calibri"/>
                <w:sz w:val="16"/>
                <w:szCs w:val="16"/>
                <w:lang w:eastAsia="et-EE"/>
              </w:rPr>
            </w:pPr>
            <w:r w:rsidRPr="00B757E1">
              <w:rPr>
                <w:rFonts w:ascii="Calibri" w:eastAsia="Times New Roman" w:hAnsi="Calibri" w:cs="Calibri"/>
                <w:sz w:val="16"/>
                <w:szCs w:val="16"/>
                <w:lang w:eastAsia="et-EE"/>
              </w:rPr>
              <w:t> </w:t>
            </w:r>
          </w:p>
        </w:tc>
        <w:tc>
          <w:tcPr>
            <w:tcW w:w="805" w:type="dxa"/>
            <w:tcBorders>
              <w:top w:val="nil"/>
              <w:left w:val="nil"/>
              <w:bottom w:val="single" w:sz="8" w:space="0" w:color="auto"/>
              <w:right w:val="single" w:sz="8" w:space="0" w:color="auto"/>
            </w:tcBorders>
            <w:shd w:val="clear" w:color="auto" w:fill="auto"/>
            <w:noWrap/>
            <w:vAlign w:val="bottom"/>
            <w:hideMark/>
          </w:tcPr>
          <w:p w14:paraId="6AACD414"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r>
      <w:tr w:rsidR="00B757E1" w:rsidRPr="0023269D" w14:paraId="3A19C054" w14:textId="77777777" w:rsidTr="00B757E1">
        <w:trPr>
          <w:trHeight w:val="465"/>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52334FFA"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Reservvõimsuste ette valmistamine tarneks</w:t>
            </w:r>
          </w:p>
        </w:tc>
        <w:tc>
          <w:tcPr>
            <w:tcW w:w="280" w:type="dxa"/>
            <w:tcBorders>
              <w:top w:val="nil"/>
              <w:left w:val="nil"/>
              <w:bottom w:val="single" w:sz="4" w:space="0" w:color="auto"/>
              <w:right w:val="single" w:sz="4" w:space="0" w:color="auto"/>
            </w:tcBorders>
            <w:shd w:val="clear" w:color="auto" w:fill="auto"/>
            <w:noWrap/>
            <w:vAlign w:val="bottom"/>
            <w:hideMark/>
          </w:tcPr>
          <w:p w14:paraId="15900F0E"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auto" w:fill="auto"/>
            <w:noWrap/>
            <w:vAlign w:val="bottom"/>
            <w:hideMark/>
          </w:tcPr>
          <w:p w14:paraId="529E3F69"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auto" w:fill="auto"/>
            <w:noWrap/>
            <w:vAlign w:val="bottom"/>
            <w:hideMark/>
          </w:tcPr>
          <w:p w14:paraId="1BF3893F"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auto" w:fill="auto"/>
            <w:noWrap/>
            <w:vAlign w:val="bottom"/>
            <w:hideMark/>
          </w:tcPr>
          <w:p w14:paraId="68E4F127"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auto" w:fill="auto"/>
            <w:noWrap/>
            <w:vAlign w:val="bottom"/>
            <w:hideMark/>
          </w:tcPr>
          <w:p w14:paraId="32045902"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auto" w:fill="auto"/>
            <w:noWrap/>
            <w:vAlign w:val="bottom"/>
            <w:hideMark/>
          </w:tcPr>
          <w:p w14:paraId="6BD77485"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auto" w:fill="auto"/>
            <w:noWrap/>
            <w:vAlign w:val="bottom"/>
            <w:hideMark/>
          </w:tcPr>
          <w:p w14:paraId="439E0781"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auto" w:fill="auto"/>
            <w:noWrap/>
            <w:vAlign w:val="bottom"/>
            <w:hideMark/>
          </w:tcPr>
          <w:p w14:paraId="2092BD00"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4" w:space="0" w:color="auto"/>
              <w:right w:val="single" w:sz="4" w:space="0" w:color="auto"/>
            </w:tcBorders>
            <w:shd w:val="clear" w:color="auto" w:fill="auto"/>
            <w:noWrap/>
            <w:vAlign w:val="bottom"/>
            <w:hideMark/>
          </w:tcPr>
          <w:p w14:paraId="38697A5F"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303" w:type="dxa"/>
            <w:tcBorders>
              <w:top w:val="nil"/>
              <w:left w:val="nil"/>
              <w:bottom w:val="single" w:sz="4" w:space="0" w:color="auto"/>
              <w:right w:val="single" w:sz="4" w:space="0" w:color="auto"/>
            </w:tcBorders>
            <w:shd w:val="clear" w:color="auto" w:fill="auto"/>
            <w:noWrap/>
            <w:vAlign w:val="bottom"/>
            <w:hideMark/>
          </w:tcPr>
          <w:p w14:paraId="41887264"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303" w:type="dxa"/>
            <w:tcBorders>
              <w:top w:val="nil"/>
              <w:left w:val="nil"/>
              <w:bottom w:val="single" w:sz="4" w:space="0" w:color="auto"/>
              <w:right w:val="single" w:sz="4" w:space="0" w:color="auto"/>
            </w:tcBorders>
            <w:shd w:val="clear" w:color="auto" w:fill="auto"/>
            <w:noWrap/>
            <w:vAlign w:val="bottom"/>
            <w:hideMark/>
          </w:tcPr>
          <w:p w14:paraId="2A99450A"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303" w:type="dxa"/>
            <w:tcBorders>
              <w:top w:val="nil"/>
              <w:left w:val="nil"/>
              <w:bottom w:val="single" w:sz="4" w:space="0" w:color="auto"/>
              <w:right w:val="single" w:sz="4" w:space="0" w:color="auto"/>
            </w:tcBorders>
            <w:shd w:val="clear" w:color="auto" w:fill="auto"/>
            <w:noWrap/>
            <w:vAlign w:val="bottom"/>
            <w:hideMark/>
          </w:tcPr>
          <w:p w14:paraId="54FA5AE3"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968" w:type="dxa"/>
            <w:tcBorders>
              <w:top w:val="nil"/>
              <w:left w:val="nil"/>
              <w:bottom w:val="single" w:sz="4" w:space="0" w:color="auto"/>
              <w:right w:val="single" w:sz="18" w:space="0" w:color="FF0000"/>
            </w:tcBorders>
            <w:shd w:val="clear" w:color="000000" w:fill="BDD7EE"/>
            <w:noWrap/>
            <w:vAlign w:val="bottom"/>
            <w:hideMark/>
          </w:tcPr>
          <w:p w14:paraId="237D9088"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4" w:type="dxa"/>
            <w:tcBorders>
              <w:top w:val="nil"/>
              <w:left w:val="single" w:sz="18" w:space="0" w:color="FF0000"/>
              <w:bottom w:val="single" w:sz="4" w:space="0" w:color="auto"/>
              <w:right w:val="single" w:sz="4" w:space="0" w:color="auto"/>
            </w:tcBorders>
            <w:shd w:val="clear" w:color="auto" w:fill="auto"/>
            <w:noWrap/>
            <w:vAlign w:val="bottom"/>
            <w:hideMark/>
          </w:tcPr>
          <w:p w14:paraId="3389067C" w14:textId="77777777" w:rsidR="00B757E1" w:rsidRPr="00B757E1" w:rsidRDefault="00B757E1" w:rsidP="00612147">
            <w:pPr>
              <w:spacing w:after="0" w:line="240" w:lineRule="auto"/>
              <w:jc w:val="both"/>
              <w:rPr>
                <w:rFonts w:ascii="Calibri" w:eastAsia="Times New Roman" w:hAnsi="Calibri" w:cs="Calibri"/>
                <w:sz w:val="16"/>
                <w:szCs w:val="16"/>
                <w:lang w:eastAsia="et-EE"/>
              </w:rPr>
            </w:pPr>
            <w:r w:rsidRPr="00B757E1">
              <w:rPr>
                <w:rFonts w:ascii="Calibri" w:eastAsia="Times New Roman" w:hAnsi="Calibri" w:cs="Calibri"/>
                <w:sz w:val="16"/>
                <w:szCs w:val="16"/>
                <w:lang w:eastAsia="et-EE"/>
              </w:rPr>
              <w:t> </w:t>
            </w:r>
          </w:p>
        </w:tc>
        <w:tc>
          <w:tcPr>
            <w:tcW w:w="805" w:type="dxa"/>
            <w:tcBorders>
              <w:top w:val="nil"/>
              <w:left w:val="nil"/>
              <w:bottom w:val="single" w:sz="4" w:space="0" w:color="auto"/>
              <w:right w:val="single" w:sz="8" w:space="0" w:color="auto"/>
            </w:tcBorders>
            <w:shd w:val="clear" w:color="auto" w:fill="auto"/>
            <w:noWrap/>
            <w:vAlign w:val="bottom"/>
            <w:hideMark/>
          </w:tcPr>
          <w:p w14:paraId="2ACA9DF0"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r>
      <w:tr w:rsidR="00B757E1" w:rsidRPr="0023269D" w14:paraId="756DAEF4" w14:textId="77777777" w:rsidTr="00B757E1">
        <w:trPr>
          <w:trHeight w:val="315"/>
        </w:trPr>
        <w:tc>
          <w:tcPr>
            <w:tcW w:w="1840" w:type="dxa"/>
            <w:tcBorders>
              <w:top w:val="nil"/>
              <w:left w:val="single" w:sz="8" w:space="0" w:color="auto"/>
              <w:bottom w:val="single" w:sz="8" w:space="0" w:color="auto"/>
              <w:right w:val="single" w:sz="4" w:space="0" w:color="auto"/>
            </w:tcBorders>
            <w:shd w:val="clear" w:color="auto" w:fill="auto"/>
            <w:vAlign w:val="bottom"/>
            <w:hideMark/>
          </w:tcPr>
          <w:p w14:paraId="08F41C94"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Reservvõimsuse tarne</w:t>
            </w:r>
          </w:p>
        </w:tc>
        <w:tc>
          <w:tcPr>
            <w:tcW w:w="280" w:type="dxa"/>
            <w:tcBorders>
              <w:top w:val="nil"/>
              <w:left w:val="nil"/>
              <w:bottom w:val="single" w:sz="8" w:space="0" w:color="auto"/>
              <w:right w:val="single" w:sz="4" w:space="0" w:color="auto"/>
            </w:tcBorders>
            <w:shd w:val="clear" w:color="auto" w:fill="auto"/>
            <w:noWrap/>
            <w:vAlign w:val="bottom"/>
            <w:hideMark/>
          </w:tcPr>
          <w:p w14:paraId="17F906E0"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8" w:space="0" w:color="auto"/>
              <w:right w:val="single" w:sz="4" w:space="0" w:color="auto"/>
            </w:tcBorders>
            <w:shd w:val="clear" w:color="auto" w:fill="auto"/>
            <w:noWrap/>
            <w:vAlign w:val="bottom"/>
            <w:hideMark/>
          </w:tcPr>
          <w:p w14:paraId="47898030"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8" w:space="0" w:color="auto"/>
              <w:right w:val="single" w:sz="4" w:space="0" w:color="auto"/>
            </w:tcBorders>
            <w:shd w:val="clear" w:color="auto" w:fill="auto"/>
            <w:noWrap/>
            <w:vAlign w:val="bottom"/>
            <w:hideMark/>
          </w:tcPr>
          <w:p w14:paraId="01078FDA"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8" w:space="0" w:color="auto"/>
              <w:right w:val="single" w:sz="4" w:space="0" w:color="auto"/>
            </w:tcBorders>
            <w:shd w:val="clear" w:color="auto" w:fill="auto"/>
            <w:noWrap/>
            <w:vAlign w:val="bottom"/>
            <w:hideMark/>
          </w:tcPr>
          <w:p w14:paraId="1A264C94"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8" w:space="0" w:color="auto"/>
              <w:right w:val="single" w:sz="4" w:space="0" w:color="auto"/>
            </w:tcBorders>
            <w:shd w:val="clear" w:color="auto" w:fill="auto"/>
            <w:noWrap/>
            <w:vAlign w:val="bottom"/>
            <w:hideMark/>
          </w:tcPr>
          <w:p w14:paraId="4A548DF4"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8" w:space="0" w:color="auto"/>
              <w:right w:val="single" w:sz="4" w:space="0" w:color="auto"/>
            </w:tcBorders>
            <w:shd w:val="clear" w:color="auto" w:fill="auto"/>
            <w:noWrap/>
            <w:vAlign w:val="bottom"/>
            <w:hideMark/>
          </w:tcPr>
          <w:p w14:paraId="28D693DC"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8" w:space="0" w:color="auto"/>
              <w:right w:val="single" w:sz="4" w:space="0" w:color="auto"/>
            </w:tcBorders>
            <w:shd w:val="clear" w:color="auto" w:fill="auto"/>
            <w:noWrap/>
            <w:vAlign w:val="bottom"/>
            <w:hideMark/>
          </w:tcPr>
          <w:p w14:paraId="4AF3225B"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8" w:space="0" w:color="auto"/>
              <w:right w:val="single" w:sz="4" w:space="0" w:color="auto"/>
            </w:tcBorders>
            <w:shd w:val="clear" w:color="auto" w:fill="auto"/>
            <w:noWrap/>
            <w:vAlign w:val="bottom"/>
            <w:hideMark/>
          </w:tcPr>
          <w:p w14:paraId="6C79E92D"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0" w:type="dxa"/>
            <w:tcBorders>
              <w:top w:val="nil"/>
              <w:left w:val="nil"/>
              <w:bottom w:val="single" w:sz="8" w:space="0" w:color="auto"/>
              <w:right w:val="single" w:sz="4" w:space="0" w:color="auto"/>
            </w:tcBorders>
            <w:shd w:val="clear" w:color="auto" w:fill="auto"/>
            <w:noWrap/>
            <w:vAlign w:val="bottom"/>
            <w:hideMark/>
          </w:tcPr>
          <w:p w14:paraId="1BF367AC"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303" w:type="dxa"/>
            <w:tcBorders>
              <w:top w:val="nil"/>
              <w:left w:val="nil"/>
              <w:bottom w:val="single" w:sz="8" w:space="0" w:color="auto"/>
              <w:right w:val="single" w:sz="4" w:space="0" w:color="auto"/>
            </w:tcBorders>
            <w:shd w:val="clear" w:color="auto" w:fill="auto"/>
            <w:noWrap/>
            <w:vAlign w:val="bottom"/>
            <w:hideMark/>
          </w:tcPr>
          <w:p w14:paraId="63DD02EE"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303" w:type="dxa"/>
            <w:tcBorders>
              <w:top w:val="nil"/>
              <w:left w:val="nil"/>
              <w:bottom w:val="single" w:sz="8" w:space="0" w:color="auto"/>
              <w:right w:val="single" w:sz="4" w:space="0" w:color="auto"/>
            </w:tcBorders>
            <w:shd w:val="clear" w:color="auto" w:fill="auto"/>
            <w:noWrap/>
            <w:vAlign w:val="bottom"/>
            <w:hideMark/>
          </w:tcPr>
          <w:p w14:paraId="30C64F4F"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303" w:type="dxa"/>
            <w:tcBorders>
              <w:top w:val="nil"/>
              <w:left w:val="nil"/>
              <w:bottom w:val="single" w:sz="8" w:space="0" w:color="auto"/>
              <w:right w:val="single" w:sz="4" w:space="0" w:color="auto"/>
            </w:tcBorders>
            <w:shd w:val="clear" w:color="auto" w:fill="auto"/>
            <w:noWrap/>
            <w:vAlign w:val="bottom"/>
            <w:hideMark/>
          </w:tcPr>
          <w:p w14:paraId="42DD644A"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968" w:type="dxa"/>
            <w:tcBorders>
              <w:top w:val="nil"/>
              <w:left w:val="nil"/>
              <w:bottom w:val="single" w:sz="8" w:space="0" w:color="auto"/>
              <w:right w:val="single" w:sz="18" w:space="0" w:color="FF0000"/>
            </w:tcBorders>
            <w:shd w:val="clear" w:color="auto" w:fill="auto"/>
            <w:noWrap/>
            <w:vAlign w:val="bottom"/>
            <w:hideMark/>
          </w:tcPr>
          <w:p w14:paraId="425D3583"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c>
          <w:tcPr>
            <w:tcW w:w="284" w:type="dxa"/>
            <w:tcBorders>
              <w:top w:val="nil"/>
              <w:left w:val="single" w:sz="18" w:space="0" w:color="FF0000"/>
              <w:bottom w:val="single" w:sz="8" w:space="0" w:color="auto"/>
              <w:right w:val="single" w:sz="4" w:space="0" w:color="auto"/>
            </w:tcBorders>
            <w:shd w:val="clear" w:color="000000" w:fill="BDD7EE"/>
            <w:noWrap/>
            <w:vAlign w:val="bottom"/>
            <w:hideMark/>
          </w:tcPr>
          <w:p w14:paraId="5F3510D3" w14:textId="77777777" w:rsidR="00B757E1" w:rsidRPr="00B757E1" w:rsidRDefault="00B757E1" w:rsidP="00612147">
            <w:pPr>
              <w:spacing w:after="0" w:line="240" w:lineRule="auto"/>
              <w:jc w:val="both"/>
              <w:rPr>
                <w:rFonts w:ascii="Calibri" w:eastAsia="Times New Roman" w:hAnsi="Calibri" w:cs="Calibri"/>
                <w:sz w:val="16"/>
                <w:szCs w:val="16"/>
                <w:lang w:eastAsia="et-EE"/>
              </w:rPr>
            </w:pPr>
            <w:r w:rsidRPr="00B757E1">
              <w:rPr>
                <w:rFonts w:ascii="Calibri" w:eastAsia="Times New Roman" w:hAnsi="Calibri" w:cs="Calibri"/>
                <w:sz w:val="16"/>
                <w:szCs w:val="16"/>
                <w:lang w:eastAsia="et-EE"/>
              </w:rPr>
              <w:t> </w:t>
            </w:r>
          </w:p>
        </w:tc>
        <w:tc>
          <w:tcPr>
            <w:tcW w:w="805" w:type="dxa"/>
            <w:tcBorders>
              <w:top w:val="nil"/>
              <w:left w:val="nil"/>
              <w:bottom w:val="single" w:sz="8" w:space="0" w:color="auto"/>
              <w:right w:val="single" w:sz="8" w:space="0" w:color="auto"/>
            </w:tcBorders>
            <w:shd w:val="clear" w:color="000000" w:fill="BDD7EE"/>
            <w:noWrap/>
            <w:vAlign w:val="bottom"/>
            <w:hideMark/>
          </w:tcPr>
          <w:p w14:paraId="11D36245" w14:textId="77777777" w:rsidR="00B757E1" w:rsidRPr="0023269D" w:rsidRDefault="00B757E1" w:rsidP="00612147">
            <w:pPr>
              <w:spacing w:after="0" w:line="240" w:lineRule="auto"/>
              <w:jc w:val="both"/>
              <w:rPr>
                <w:rFonts w:ascii="Calibri" w:eastAsia="Times New Roman" w:hAnsi="Calibri" w:cs="Calibri"/>
                <w:color w:val="000000"/>
                <w:sz w:val="16"/>
                <w:szCs w:val="16"/>
                <w:lang w:eastAsia="et-EE"/>
              </w:rPr>
            </w:pPr>
            <w:r w:rsidRPr="0023269D">
              <w:rPr>
                <w:rFonts w:ascii="Calibri" w:eastAsia="Times New Roman" w:hAnsi="Calibri" w:cs="Calibri"/>
                <w:color w:val="000000"/>
                <w:sz w:val="16"/>
                <w:szCs w:val="16"/>
                <w:lang w:eastAsia="et-EE"/>
              </w:rPr>
              <w:t> </w:t>
            </w:r>
          </w:p>
        </w:tc>
      </w:tr>
    </w:tbl>
    <w:p w14:paraId="40475097" w14:textId="77777777" w:rsidR="008B5B36" w:rsidRDefault="008B5B36" w:rsidP="00612147">
      <w:pPr>
        <w:jc w:val="both"/>
      </w:pPr>
    </w:p>
    <w:p w14:paraId="71A7A212" w14:textId="111650AC" w:rsidR="008B5B36" w:rsidRDefault="00FC5D05" w:rsidP="00612147">
      <w:pPr>
        <w:pStyle w:val="Heading2"/>
        <w:numPr>
          <w:ilvl w:val="1"/>
          <w:numId w:val="24"/>
        </w:numPr>
        <w:jc w:val="both"/>
      </w:pPr>
      <w:bookmarkStart w:id="26" w:name="_Toc86157147"/>
      <w:r>
        <w:lastRenderedPageBreak/>
        <w:t>Piiriülene</w:t>
      </w:r>
      <w:r w:rsidR="008B5B36">
        <w:t xml:space="preserve"> osalemine</w:t>
      </w:r>
      <w:bookmarkEnd w:id="26"/>
    </w:p>
    <w:p w14:paraId="622997C1" w14:textId="3058029F" w:rsidR="00B82341" w:rsidRDefault="003D3961" w:rsidP="00612147">
      <w:pPr>
        <w:jc w:val="both"/>
      </w:pPr>
      <w:r>
        <w:t xml:space="preserve">Kuigi määruse artikli 26 alusel on soovitav, et ka teises liikmesriigis asuvad võimsusepakkujad saaksid osaleda vahetult piiriüleselt  reservvõimsuse pakkumises, siis </w:t>
      </w:r>
      <w:r w:rsidR="00FC5D05">
        <w:t>strateegilise</w:t>
      </w:r>
      <w:r>
        <w:t xml:space="preserve"> reservi korral peab liikmesriik seda lubama ainult juhul kui see on tehniliselt teostatav. </w:t>
      </w:r>
      <w:r w:rsidR="0047684D">
        <w:t>Seega st</w:t>
      </w:r>
      <w:r w:rsidR="00D0662B">
        <w:t>ra</w:t>
      </w:r>
      <w:r w:rsidR="0047684D">
        <w:t xml:space="preserve">teegiline reserv peab suutma oma rolli täita sellisel juhul ka naaberriigist aktiveerides. </w:t>
      </w:r>
      <w:r w:rsidR="008B5B36">
        <w:t xml:space="preserve">Eesti puhul on elektrisüsteemi jaoks pingelistel hetkedel määrava tähtsusega </w:t>
      </w:r>
      <w:r>
        <w:t xml:space="preserve">just </w:t>
      </w:r>
      <w:r w:rsidR="008B5B36">
        <w:t>ülekandevõimsuste kasutatavus. Vastavalt Eleringi läbi viidud analüüsidele, on Eesti elektri</w:t>
      </w:r>
      <w:r w:rsidR="00641FCA">
        <w:t xml:space="preserve">süsteemi võimekuse </w:t>
      </w:r>
      <w:r w:rsidR="008B5B36">
        <w:t xml:space="preserve">koha pealt kõige kriitilisemad ajahetked, kui esinevad </w:t>
      </w:r>
      <w:r w:rsidR="00BE4FCB">
        <w:t>ülekandevõimsus on maksimaalselt kasutuses ning nendel esinevad seejärel avariid</w:t>
      </w:r>
      <w:r w:rsidR="008B5B36">
        <w:t xml:space="preserve">. Sellisel juhul on märkimisväärne tõenäosus, et </w:t>
      </w:r>
      <w:r w:rsidR="00B82341">
        <w:t>Soome</w:t>
      </w:r>
      <w:r w:rsidR="008B5B36">
        <w:t xml:space="preserve"> riigi pinnal asuv elektrienergia tootmisvõimsus ei suuda Eesti elektri</w:t>
      </w:r>
      <w:r w:rsidR="004B1B58">
        <w:t xml:space="preserve"> </w:t>
      </w:r>
      <w:r w:rsidR="008B5B36">
        <w:t>süsteemi</w:t>
      </w:r>
      <w:r w:rsidR="004B1B58">
        <w:t>piisavusse</w:t>
      </w:r>
      <w:r w:rsidR="008B5B36">
        <w:t xml:space="preserve"> täiel määral panustada. </w:t>
      </w:r>
    </w:p>
    <w:p w14:paraId="202B3ADF" w14:textId="7EB919DC" w:rsidR="00B82341" w:rsidRDefault="00B82341" w:rsidP="00612147">
      <w:pPr>
        <w:jc w:val="both"/>
      </w:pPr>
      <w:r>
        <w:t xml:space="preserve">Kuigi ENTSO-E </w:t>
      </w:r>
      <w:r w:rsidR="00641FCA">
        <w:t xml:space="preserve">süsteemi võimekuse </w:t>
      </w:r>
      <w:r>
        <w:t>arvutused näitavad, et ajahetkedel, mis Eestis on elekt</w:t>
      </w:r>
      <w:r w:rsidR="00FE553E">
        <w:t>r</w:t>
      </w:r>
      <w:r>
        <w:t>i</w:t>
      </w:r>
      <w:r w:rsidR="00FE553E">
        <w:t>en</w:t>
      </w:r>
      <w:r>
        <w:t>ergia puudujääk, ei kasutata Eesti ja Läti vahelist elektrienergia ülekandevõimsust, ei ole ka Lätis olevaid elektrienergia tootmisvõimsuseid</w:t>
      </w:r>
      <w:r w:rsidR="00935390">
        <w:t xml:space="preserve"> võimalik</w:t>
      </w:r>
      <w:r>
        <w:t xml:space="preserve"> Eesti strateegilise reservi mehhanismi kaasata. Seda selletõttu, et Lätis ja Leedu näitab ENTSO-E analüüs sarnast või halvemat </w:t>
      </w:r>
      <w:r w:rsidR="004B1B58">
        <w:t>süsteemi</w:t>
      </w:r>
      <w:r w:rsidR="00641FCA">
        <w:t xml:space="preserve"> võimekuse</w:t>
      </w:r>
      <w:r>
        <w:t xml:space="preserve"> olukorda, kui Eestis. Seega on suur oht samaaegseks </w:t>
      </w:r>
      <w:r w:rsidR="00641FCA">
        <w:t xml:space="preserve">süsteemi võimekuse </w:t>
      </w:r>
      <w:r>
        <w:t>probleemiks ning</w:t>
      </w:r>
      <w:r w:rsidR="00935390">
        <w:t xml:space="preserve"> naaberriigis asuv võimsus ei saa Eesti </w:t>
      </w:r>
      <w:r w:rsidR="00641FCA">
        <w:t xml:space="preserve">süsteemi võimekuse </w:t>
      </w:r>
      <w:r w:rsidR="00935390">
        <w:t>probleemi lahendada.</w:t>
      </w:r>
      <w:r>
        <w:t xml:space="preserve"> </w:t>
      </w:r>
    </w:p>
    <w:p w14:paraId="7E57B142" w14:textId="6ECCFB8E" w:rsidR="0084716C" w:rsidRPr="00822E5A" w:rsidRDefault="003D3961" w:rsidP="00612147">
      <w:pPr>
        <w:jc w:val="both"/>
      </w:pPr>
      <w:r>
        <w:t>Seega v</w:t>
      </w:r>
      <w:r w:rsidR="008B5B36">
        <w:t xml:space="preserve">astavalt kirjeldatud asjaoludele on oluline, et hangitav elektrienergia tootmisreserv asuks Eesti pinnal ning ei sõltuks ülekandevõimsuste kasutatavusest. Seetõttu on ette nähtud, et rakendatava </w:t>
      </w:r>
      <w:r w:rsidR="0047684D">
        <w:t xml:space="preserve">strateegilise reservi </w:t>
      </w:r>
      <w:r w:rsidR="008B5B36">
        <w:t xml:space="preserve">kontekstis ei lubata </w:t>
      </w:r>
      <w:r w:rsidR="00544630">
        <w:t xml:space="preserve">piiriülest </w:t>
      </w:r>
      <w:r w:rsidR="008B5B36">
        <w:t>osalemist ning vähempakkumisel osalemisel kvalifitseerumiseks peab vastav võimsust pakkuv ressurss asuma Eestis.</w:t>
      </w:r>
    </w:p>
    <w:p w14:paraId="115F7920" w14:textId="72D39DDE" w:rsidR="004A4302" w:rsidRDefault="004A4302" w:rsidP="00612147">
      <w:pPr>
        <w:pStyle w:val="Heading2"/>
        <w:numPr>
          <w:ilvl w:val="1"/>
          <w:numId w:val="24"/>
        </w:numPr>
        <w:jc w:val="both"/>
      </w:pPr>
      <w:bookmarkStart w:id="27" w:name="_Toc86157148"/>
      <w:r>
        <w:t>Eelkvalifitseerimine</w:t>
      </w:r>
      <w:bookmarkEnd w:id="27"/>
    </w:p>
    <w:p w14:paraId="0D1FEC80" w14:textId="38938CFB" w:rsidR="00806B2A" w:rsidRDefault="0039787D" w:rsidP="00612147">
      <w:pPr>
        <w:jc w:val="both"/>
      </w:pPr>
      <w:r>
        <w:t xml:space="preserve">Vähempakkumisele eelneb potentsiaalsete pakkujate eelkvalifitseerimine. </w:t>
      </w:r>
      <w:r w:rsidR="00806B2A">
        <w:t xml:space="preserve">Eelkvalifitseerimise käigus veendutakse reservvõimsuste pakkujate </w:t>
      </w:r>
      <w:r w:rsidR="005726EC">
        <w:t xml:space="preserve">tehnilises </w:t>
      </w:r>
      <w:r w:rsidR="00806B2A">
        <w:t>ja finantsilises võimekuses, nende vastavuses Euroopa Liidu ja Eesti seadusandlusega ning muudes olulistes kriteeriumites.</w:t>
      </w:r>
      <w:r w:rsidR="00923591">
        <w:t xml:space="preserve"> </w:t>
      </w:r>
    </w:p>
    <w:p w14:paraId="0625C57F" w14:textId="7F9A8C33" w:rsidR="00923591" w:rsidRDefault="00923591" w:rsidP="00612147">
      <w:pPr>
        <w:jc w:val="both"/>
      </w:pPr>
      <w:r>
        <w:t>Vähempakkumisel osalemiseks tuleb eelkvalifikatsiooni raames esitada finantstagatis, mille määr on 1000 eurot iga pakutava reservvõimsuse elektrilise megavati kohta.</w:t>
      </w:r>
      <w:r w:rsidR="00FE553E">
        <w:t xml:space="preserve"> Finantstagatis tagastatakse pärast vähempakkumiste esitamist ning tulemuste selgitamist pakkujatele, kes ei osutunud vähempakkumises edukaks ning pärast võimsusmehhanismi tarne algust neile pakkujatele, kes osutusid vähempakkumises edukaks.</w:t>
      </w:r>
    </w:p>
    <w:p w14:paraId="03AC0FAB" w14:textId="00D367F1" w:rsidR="00806B2A" w:rsidRDefault="00806B2A" w:rsidP="00612147">
      <w:pPr>
        <w:jc w:val="both"/>
      </w:pPr>
      <w:r>
        <w:t>Eelkvalifitseerimise osadeks on:</w:t>
      </w:r>
      <w:r w:rsidR="00C5739E" w:rsidRPr="00C5739E">
        <w:t xml:space="preserve"> </w:t>
      </w:r>
    </w:p>
    <w:p w14:paraId="02EFC3FC" w14:textId="777D20D6" w:rsidR="00806B2A" w:rsidRDefault="00806B2A" w:rsidP="00612147">
      <w:pPr>
        <w:pStyle w:val="ListParagraph"/>
        <w:numPr>
          <w:ilvl w:val="0"/>
          <w:numId w:val="26"/>
        </w:numPr>
        <w:jc w:val="both"/>
      </w:pPr>
      <w:r>
        <w:t>Kasvuhoonegaaside heitmepiirangu järgimise kontroll</w:t>
      </w:r>
    </w:p>
    <w:p w14:paraId="1661BA57" w14:textId="0F6664BA" w:rsidR="00806B2A" w:rsidRDefault="00806B2A" w:rsidP="00612147">
      <w:pPr>
        <w:pStyle w:val="ListParagraph"/>
        <w:numPr>
          <w:ilvl w:val="0"/>
          <w:numId w:val="26"/>
        </w:numPr>
        <w:jc w:val="both"/>
      </w:pPr>
      <w:r>
        <w:t>Reservvõimsuse olemasolu/projekti realiseeritavuse kontroll</w:t>
      </w:r>
    </w:p>
    <w:p w14:paraId="6632EAA4" w14:textId="0E4BE577" w:rsidR="00806B2A" w:rsidRDefault="00806B2A" w:rsidP="00612147">
      <w:pPr>
        <w:pStyle w:val="ListParagraph"/>
        <w:numPr>
          <w:ilvl w:val="0"/>
          <w:numId w:val="26"/>
        </w:numPr>
        <w:jc w:val="both"/>
      </w:pPr>
      <w:r>
        <w:t>Finantstagatise kontroll</w:t>
      </w:r>
    </w:p>
    <w:p w14:paraId="10AEC39A" w14:textId="46A53517" w:rsidR="00FE553E" w:rsidRDefault="00FE553E" w:rsidP="00612147">
      <w:pPr>
        <w:pStyle w:val="ListParagraph"/>
        <w:numPr>
          <w:ilvl w:val="0"/>
          <w:numId w:val="26"/>
        </w:numPr>
        <w:jc w:val="both"/>
      </w:pPr>
      <w:r>
        <w:t>Käivitamise testid (olemasolevatele võimsustele)</w:t>
      </w:r>
    </w:p>
    <w:p w14:paraId="09148678" w14:textId="7222A12A" w:rsidR="00326F31" w:rsidRDefault="00326F31" w:rsidP="00612147">
      <w:pPr>
        <w:jc w:val="both"/>
      </w:pPr>
      <w:r>
        <w:t>Eelkvalifitseerimise etapi läbimiseks peavad reservvõimsuse esindajad esitama vähemalt järgnevad dokumendid:</w:t>
      </w:r>
    </w:p>
    <w:p w14:paraId="73776203" w14:textId="00F0C67C" w:rsidR="00326F31" w:rsidRDefault="00326F31" w:rsidP="00612147">
      <w:pPr>
        <w:pStyle w:val="ListParagraph"/>
        <w:numPr>
          <w:ilvl w:val="0"/>
          <w:numId w:val="20"/>
        </w:numPr>
        <w:jc w:val="both"/>
      </w:pPr>
      <w:r>
        <w:t>Kirjeldus vähempakkumisel osalevatest seadmetest</w:t>
      </w:r>
      <w:r w:rsidR="001E2479">
        <w:t xml:space="preserve">, </w:t>
      </w:r>
      <w:r w:rsidR="00AD7005">
        <w:t>millega esitatakse vähemalt järgnev teave</w:t>
      </w:r>
      <w:r w:rsidR="001E2479">
        <w:t>:</w:t>
      </w:r>
    </w:p>
    <w:p w14:paraId="17C0DCFD" w14:textId="7F32862E" w:rsidR="001E2479" w:rsidRDefault="001E2479" w:rsidP="00612147">
      <w:pPr>
        <w:pStyle w:val="ListParagraph"/>
        <w:numPr>
          <w:ilvl w:val="1"/>
          <w:numId w:val="20"/>
        </w:numPr>
        <w:jc w:val="both"/>
      </w:pPr>
      <w:r>
        <w:t>Seadme/seadmete kogumiku üldine tehniline kirjeldus</w:t>
      </w:r>
      <w:r w:rsidR="00AD7005">
        <w:t>;</w:t>
      </w:r>
    </w:p>
    <w:p w14:paraId="37F2955A" w14:textId="2FFB388C" w:rsidR="001E2479" w:rsidRDefault="001E2479" w:rsidP="00612147">
      <w:pPr>
        <w:pStyle w:val="ListParagraph"/>
        <w:numPr>
          <w:ilvl w:val="1"/>
          <w:numId w:val="20"/>
        </w:numPr>
        <w:jc w:val="both"/>
      </w:pPr>
      <w:r>
        <w:t>Minimaalne ja maksimaalne elektriline netoaktiveerimisvõimsus</w:t>
      </w:r>
      <w:r w:rsidR="00AD7005">
        <w:t>;</w:t>
      </w:r>
    </w:p>
    <w:p w14:paraId="53B520DC" w14:textId="12355300" w:rsidR="00AD7005" w:rsidRDefault="00AD7005" w:rsidP="00612147">
      <w:pPr>
        <w:pStyle w:val="ListParagraph"/>
        <w:numPr>
          <w:ilvl w:val="1"/>
          <w:numId w:val="20"/>
        </w:numPr>
        <w:jc w:val="both"/>
      </w:pPr>
      <w:r>
        <w:t>Minimaalne võimalik käivitumise aeg erinevates situatsioonides;</w:t>
      </w:r>
    </w:p>
    <w:p w14:paraId="22BDD83B" w14:textId="378E522B" w:rsidR="00AD7005" w:rsidRDefault="00AD7005" w:rsidP="00612147">
      <w:pPr>
        <w:pStyle w:val="ListParagraph"/>
        <w:numPr>
          <w:ilvl w:val="1"/>
          <w:numId w:val="20"/>
        </w:numPr>
        <w:jc w:val="both"/>
      </w:pPr>
      <w:r>
        <w:t>Suurim võimalik tundide aeg mille jooksul võimsus suudab olla maksimaalselt aktiveeritud täisvõimsusel;</w:t>
      </w:r>
    </w:p>
    <w:p w14:paraId="69F319F4" w14:textId="613F139C" w:rsidR="00AD7005" w:rsidRDefault="00AD7005" w:rsidP="00612147">
      <w:pPr>
        <w:pStyle w:val="ListParagraph"/>
        <w:numPr>
          <w:ilvl w:val="1"/>
          <w:numId w:val="20"/>
        </w:numPr>
        <w:jc w:val="both"/>
      </w:pPr>
      <w:r>
        <w:lastRenderedPageBreak/>
        <w:t>Muu oluline info, mis mõjutab reservvõimsuse kasutamist ja aktiveerimist strateegilise reservina</w:t>
      </w:r>
      <w:r w:rsidR="00181F88">
        <w:t>;</w:t>
      </w:r>
    </w:p>
    <w:p w14:paraId="45F804AD" w14:textId="4565C90E" w:rsidR="00326F31" w:rsidRDefault="00326F31" w:rsidP="00612147">
      <w:pPr>
        <w:pStyle w:val="ListParagraph"/>
        <w:numPr>
          <w:ilvl w:val="0"/>
          <w:numId w:val="20"/>
        </w:numPr>
        <w:jc w:val="both"/>
      </w:pPr>
      <w:r>
        <w:t>Kirjeldus, arvutuskäik ja piisav dokumentatsioon selle kohta, kuidas täidetakse EU määruse 2019/943 artikkel 22 punkt 4 nõuet võimsusmehhanismi kasvuhoonegaaside heitmepiirangute kohta. Kirjeldus ja vastav arvutuskäik peab vastama määruse punktis viidatud ACERi metoodikale</w:t>
      </w:r>
      <w:r w:rsidR="00923591">
        <w:t>;</w:t>
      </w:r>
    </w:p>
    <w:p w14:paraId="3C8E134F" w14:textId="05D956D3" w:rsidR="00923591" w:rsidRDefault="00923591" w:rsidP="00612147">
      <w:pPr>
        <w:pStyle w:val="ListParagraph"/>
        <w:numPr>
          <w:ilvl w:val="0"/>
          <w:numId w:val="20"/>
        </w:numPr>
        <w:jc w:val="both"/>
      </w:pPr>
      <w:r>
        <w:t>Tõend finantstagatise ülekandmise kohta;</w:t>
      </w:r>
    </w:p>
    <w:p w14:paraId="7DE77432" w14:textId="47D9B74A" w:rsidR="00057F0E" w:rsidRDefault="00326F31" w:rsidP="00612147">
      <w:pPr>
        <w:pStyle w:val="ListParagraph"/>
        <w:numPr>
          <w:ilvl w:val="0"/>
          <w:numId w:val="20"/>
        </w:numPr>
        <w:jc w:val="both"/>
      </w:pPr>
      <w:r>
        <w:t>Tarbimise juhtimise korral tarbimise juhtimise portfelli koosseisu kuuluvate tarbimise mõõtepunktide summaarse tarbimise matemaatiline mudel</w:t>
      </w:r>
      <w:r w:rsidR="0030123F">
        <w:t xml:space="preserve"> nn </w:t>
      </w:r>
      <w:r w:rsidR="0030123F" w:rsidRPr="009228F8">
        <w:rPr>
          <w:i/>
          <w:iCs/>
        </w:rPr>
        <w:t>baseline</w:t>
      </w:r>
      <w:r w:rsidR="0030123F">
        <w:t xml:space="preserve"> arvutamiseks</w:t>
      </w:r>
      <w:r>
        <w:t>, mis on piisava täpsusega, et võimaldada tarbimise juhtimise aktiveerimise kontrollimist reservvõimsusena.</w:t>
      </w:r>
    </w:p>
    <w:p w14:paraId="06597DB5" w14:textId="60CC8AF8" w:rsidR="009F28C2" w:rsidRDefault="009F28C2" w:rsidP="00612147">
      <w:pPr>
        <w:jc w:val="both"/>
      </w:pPr>
      <w:r>
        <w:t>Juhul kui potentsiaalne võimsuse pakkuja ei täida Euroopa Liidu määruse 2019/943 seatud süsihappegaasi heitmepiirangu norme, on tal võimalus eelkvalifitseerimise raames esitada tegevusplaan tegevustega, mis lubavad võimsuse pakkujal viia oma heitmed kooskõlla normiga hiljemalt reservvõimsuse tarne alguskuupäevaks. Sellisel juhul hinnatakse eelkvalifitseerimise käigus tegevusplaani kriitiliselt, arvestades kirjeldatud meetmete tõhusust ja rakendamise realistlikkust reservvõimsuse tarne alguskuupäevaks.</w:t>
      </w:r>
    </w:p>
    <w:p w14:paraId="21FC2F00" w14:textId="039E0F54" w:rsidR="0039350D" w:rsidRDefault="0039350D" w:rsidP="00612147">
      <w:pPr>
        <w:jc w:val="both"/>
      </w:pPr>
      <w:r w:rsidRPr="00AD5B70">
        <w:t>Erijuhul võib Elering otsustada, et vähempakkumisel saavad osaleda elektrienergia tootjad, kes ei täida heitmenõudeid</w:t>
      </w:r>
      <w:r w:rsidR="00F2610D" w:rsidRPr="00AD5B70">
        <w:t xml:space="preserve"> eelkirjeldatud metoodika kohaselt</w:t>
      </w:r>
      <w:r w:rsidRPr="00AD5B70">
        <w:t>. Sellisel juhul a</w:t>
      </w:r>
      <w:r w:rsidR="00F2610D" w:rsidRPr="00AD5B70">
        <w:t>rvutatakse</w:t>
      </w:r>
      <w:r w:rsidRPr="00AD5B70">
        <w:t xml:space="preserve"> elektritootja jaoks </w:t>
      </w:r>
      <w:r w:rsidR="00F2610D" w:rsidRPr="00AD5B70">
        <w:t xml:space="preserve">välja </w:t>
      </w:r>
      <w:r w:rsidRPr="00AD5B70">
        <w:t>maksimaalne töötundide arv aastas, et täita piirmäära 350 tonni CO</w:t>
      </w:r>
      <w:r w:rsidRPr="007C4B60">
        <w:rPr>
          <w:vertAlign w:val="subscript"/>
        </w:rPr>
        <w:t>2</w:t>
      </w:r>
      <w:r w:rsidRPr="00AD5B70">
        <w:t xml:space="preserve"> ühe toodetud elektrienergia MWh kohta.</w:t>
      </w:r>
      <w:r>
        <w:t xml:space="preserve"> Elektritootja maksimaalset töötundide arvu aastas võrreldakse vastava varustuskindluse analüüsiga ning eeldatavate vajalike töötundide arvu aastas, et tootmispiisavuse probleemi lahendada.</w:t>
      </w:r>
      <w:r w:rsidR="00523BCD">
        <w:t xml:space="preserve"> Kui elektrijaama jaoks välja arvutatud maksimaalne töötundide arv on kõrgem, kui arvutuslik vajalike töötundide arv aastas tootmispiisavuse probleemi lahendamiseks, on võimalik elektrienergia tootjal vähempakkumises osaleda.</w:t>
      </w:r>
    </w:p>
    <w:p w14:paraId="56D836CA" w14:textId="4AD6A7E4" w:rsidR="00326F31" w:rsidRPr="009E452A" w:rsidRDefault="00057F0E" w:rsidP="00612147">
      <w:pPr>
        <w:jc w:val="both"/>
      </w:pPr>
      <w:r>
        <w:t xml:space="preserve">Tarbimise juhtimise aktiveerimise korral </w:t>
      </w:r>
      <w:r w:rsidR="004B1B58">
        <w:t>süsteemi</w:t>
      </w:r>
      <w:r w:rsidR="00641FCA">
        <w:t xml:space="preserve"> võimekuse</w:t>
      </w:r>
      <w:r w:rsidR="004B1B58">
        <w:t xml:space="preserve"> </w:t>
      </w:r>
      <w:r>
        <w:t xml:space="preserve">probleemi lahendamiseks kontrollitakse nende aktiveerimist läbi tarbimise matemaatilise mudeli. Matemaatiline mudel peab kirjeldama kõikide tarbimispunktide, milles asuv tarbimine kuulub võimsusepakkuja koosseisu, tarbimist vastavalt avalikult kätte saadavatele andmetele, nagu välisõhu temperatuur, nädalapäev, kellaaeg. Elering kontrollib vastava matemaatilise mudeli tõepärasust. Mudeli täpsus peab olema piisav, et tavaolukorras on mudeli väljundi ning reaalse tarbimisvõimsuse päeva keskmine viga alla </w:t>
      </w:r>
      <w:r w:rsidR="004B1B58">
        <w:t>20</w:t>
      </w:r>
      <w:r>
        <w:t xml:space="preserve">%. Juhul, kui tarbimise juhtimist kasutatakse </w:t>
      </w:r>
      <w:r w:rsidR="004B1B58">
        <w:t>süsteemi</w:t>
      </w:r>
      <w:r w:rsidR="00641FCA">
        <w:t xml:space="preserve"> võimekuse</w:t>
      </w:r>
      <w:r>
        <w:t xml:space="preserve"> probleemi lahendamiseks, võrreldakse reaalset mõõtepunktide summaarset tarbimist modelleeritud tarbimisega ning nende kahe vahe loetakse aktiveeritud koguseks, arvestades ka võimalikku viga mudeli väljundis.</w:t>
      </w:r>
    </w:p>
    <w:p w14:paraId="5E00807C" w14:textId="15ADEE96" w:rsidR="007F3165" w:rsidRDefault="007F3165" w:rsidP="00612147">
      <w:pPr>
        <w:pStyle w:val="Heading2"/>
        <w:numPr>
          <w:ilvl w:val="1"/>
          <w:numId w:val="24"/>
        </w:numPr>
        <w:jc w:val="both"/>
      </w:pPr>
      <w:bookmarkStart w:id="28" w:name="_Toc86157149"/>
      <w:r>
        <w:t>Vähempakkumiste esitamine</w:t>
      </w:r>
      <w:bookmarkEnd w:id="28"/>
    </w:p>
    <w:p w14:paraId="1CA20F7A" w14:textId="27F3A734" w:rsidR="0078689E" w:rsidRDefault="00B92FDC" w:rsidP="00612147">
      <w:pPr>
        <w:jc w:val="both"/>
      </w:pPr>
      <w:r>
        <w:t>Võimsusepakkujad</w:t>
      </w:r>
      <w:r w:rsidR="007F3165">
        <w:t xml:space="preserve">, mis läbivad edukalt eelkvalifitseerimise protsessi, saavad õiguse esitada oma pakkumised reservvõimsuse hankimise vähempakkumisele. </w:t>
      </w:r>
      <w:r w:rsidR="0078689E">
        <w:t xml:space="preserve">Vähempakkumise eesmärk on leida väikseimate kogukulude lahendus </w:t>
      </w:r>
      <w:r w:rsidR="004B1B58">
        <w:t>süsteemi</w:t>
      </w:r>
      <w:r w:rsidR="00641FCA">
        <w:t xml:space="preserve"> võimekuse</w:t>
      </w:r>
      <w:r w:rsidR="0078689E">
        <w:t xml:space="preserve"> probleemi lahendamiseks. Selleks kogutakse võimsuse pakkujatelt pakkumused, mis kirjeldavad nende võimsuste opereerimise kulusid ja pakkumuse püsikulu.</w:t>
      </w:r>
    </w:p>
    <w:p w14:paraId="10CE9D0A" w14:textId="090B96BA" w:rsidR="00806B2A" w:rsidRDefault="007F3165" w:rsidP="00612147">
      <w:pPr>
        <w:jc w:val="both"/>
      </w:pPr>
      <w:r>
        <w:t>Pakkumuse</w:t>
      </w:r>
      <w:r w:rsidR="00806B2A">
        <w:t>s peab olema kajastatud küsitav pakkumuse summaarne hind kogu lepinguperioodi peale</w:t>
      </w:r>
      <w:r w:rsidR="00705188">
        <w:t xml:space="preserve"> ning ka võimsuse aktiveerimisega seonduvad kulud. Esitada tuleb järgnev teave võimsuse kohta:</w:t>
      </w:r>
      <w:r w:rsidR="00806B2A">
        <w:t xml:space="preserve"> </w:t>
      </w:r>
    </w:p>
    <w:p w14:paraId="668C12C4" w14:textId="59C458E3" w:rsidR="005C62EE" w:rsidRDefault="005C62EE" w:rsidP="00612147">
      <w:pPr>
        <w:pStyle w:val="ListParagraph"/>
        <w:numPr>
          <w:ilvl w:val="0"/>
          <w:numId w:val="25"/>
        </w:numPr>
        <w:jc w:val="both"/>
      </w:pPr>
      <w:r>
        <w:t xml:space="preserve">Reservvõimsuse </w:t>
      </w:r>
      <w:r w:rsidR="00705188">
        <w:t>püsi</w:t>
      </w:r>
      <w:r>
        <w:t xml:space="preserve">kulu kogu võimsusmehhanismi </w:t>
      </w:r>
      <w:r w:rsidR="004B1B58">
        <w:t xml:space="preserve">kehtivuse perioodi </w:t>
      </w:r>
      <w:r>
        <w:t>kohta</w:t>
      </w:r>
      <w:r w:rsidR="004B1B58">
        <w:t>;</w:t>
      </w:r>
    </w:p>
    <w:p w14:paraId="4CA69ECC" w14:textId="0066104D" w:rsidR="007F3165" w:rsidRDefault="00806B2A" w:rsidP="00612147">
      <w:pPr>
        <w:pStyle w:val="ListParagraph"/>
        <w:numPr>
          <w:ilvl w:val="0"/>
          <w:numId w:val="25"/>
        </w:numPr>
        <w:jc w:val="both"/>
      </w:pPr>
      <w:r>
        <w:t>reservvõimsuse käivitamise kulu ühe käivitamise kohta;</w:t>
      </w:r>
    </w:p>
    <w:p w14:paraId="5FD71B97" w14:textId="0FF208D4" w:rsidR="0078689E" w:rsidRDefault="00806B2A" w:rsidP="00612147">
      <w:pPr>
        <w:pStyle w:val="ListParagraph"/>
        <w:numPr>
          <w:ilvl w:val="0"/>
          <w:numId w:val="25"/>
        </w:numPr>
        <w:jc w:val="both"/>
      </w:pPr>
      <w:r>
        <w:lastRenderedPageBreak/>
        <w:t>reservvõimsuse muutuvkulusid, ühe MW aktiveeritud reservvõimsuse kulusid ühe tunnise ajaperioodi jooksul.</w:t>
      </w:r>
    </w:p>
    <w:p w14:paraId="53495B9F" w14:textId="5C215B51" w:rsidR="0078689E" w:rsidRDefault="0078689E" w:rsidP="00612147">
      <w:pPr>
        <w:jc w:val="both"/>
      </w:pPr>
      <w:r>
        <w:t>Nõutavaid andmeid ja andmete esitamisel kasutatavaid ühikuid illustreerib alljärgnev tabel.</w:t>
      </w:r>
    </w:p>
    <w:tbl>
      <w:tblPr>
        <w:tblStyle w:val="GridTable4-Accent5"/>
        <w:tblW w:w="0" w:type="auto"/>
        <w:tblInd w:w="1635" w:type="dxa"/>
        <w:tblLook w:val="04A0" w:firstRow="1" w:lastRow="0" w:firstColumn="1" w:lastColumn="0" w:noHBand="0" w:noVBand="1"/>
      </w:tblPr>
      <w:tblGrid>
        <w:gridCol w:w="4819"/>
        <w:gridCol w:w="1554"/>
      </w:tblGrid>
      <w:tr w:rsidR="00C96D1D" w14:paraId="4E89E527" w14:textId="77777777" w:rsidTr="00672D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2F77B687" w14:textId="5B1FB776" w:rsidR="00C96D1D" w:rsidRDefault="00C96D1D" w:rsidP="00612147">
            <w:pPr>
              <w:jc w:val="both"/>
            </w:pPr>
            <w:r>
              <w:t>Parameeter</w:t>
            </w:r>
          </w:p>
        </w:tc>
        <w:tc>
          <w:tcPr>
            <w:tcW w:w="1554" w:type="dxa"/>
          </w:tcPr>
          <w:p w14:paraId="1EA22C4A" w14:textId="766B67F8" w:rsidR="00C96D1D" w:rsidRDefault="00C96D1D" w:rsidP="00612147">
            <w:pPr>
              <w:jc w:val="both"/>
              <w:cnfStyle w:val="100000000000" w:firstRow="1" w:lastRow="0" w:firstColumn="0" w:lastColumn="0" w:oddVBand="0" w:evenVBand="0" w:oddHBand="0" w:evenHBand="0" w:firstRowFirstColumn="0" w:firstRowLastColumn="0" w:lastRowFirstColumn="0" w:lastRowLastColumn="0"/>
            </w:pPr>
            <w:r>
              <w:t>Ühik</w:t>
            </w:r>
          </w:p>
        </w:tc>
      </w:tr>
      <w:tr w:rsidR="00C96D1D" w14:paraId="5A4C6136" w14:textId="77777777" w:rsidTr="0067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3A47B270" w14:textId="40C95AF2" w:rsidR="00C96D1D" w:rsidRDefault="00C96D1D" w:rsidP="00612147">
            <w:pPr>
              <w:jc w:val="both"/>
            </w:pPr>
            <w:r>
              <w:t>Pakutava võimsuse summaarne kogus</w:t>
            </w:r>
          </w:p>
        </w:tc>
        <w:tc>
          <w:tcPr>
            <w:tcW w:w="1554" w:type="dxa"/>
          </w:tcPr>
          <w:p w14:paraId="6B9550DF" w14:textId="16818355" w:rsidR="00C96D1D" w:rsidRDefault="00C96D1D" w:rsidP="00612147">
            <w:pPr>
              <w:jc w:val="both"/>
              <w:cnfStyle w:val="000000100000" w:firstRow="0" w:lastRow="0" w:firstColumn="0" w:lastColumn="0" w:oddVBand="0" w:evenVBand="0" w:oddHBand="1" w:evenHBand="0" w:firstRowFirstColumn="0" w:firstRowLastColumn="0" w:lastRowFirstColumn="0" w:lastRowLastColumn="0"/>
            </w:pPr>
            <w:r>
              <w:t>MWel</w:t>
            </w:r>
          </w:p>
        </w:tc>
      </w:tr>
      <w:tr w:rsidR="00C96D1D" w14:paraId="03D2E552" w14:textId="77777777" w:rsidTr="00672DBF">
        <w:tc>
          <w:tcPr>
            <w:cnfStyle w:val="001000000000" w:firstRow="0" w:lastRow="0" w:firstColumn="1" w:lastColumn="0" w:oddVBand="0" w:evenVBand="0" w:oddHBand="0" w:evenHBand="0" w:firstRowFirstColumn="0" w:firstRowLastColumn="0" w:lastRowFirstColumn="0" w:lastRowLastColumn="0"/>
            <w:tcW w:w="4819" w:type="dxa"/>
          </w:tcPr>
          <w:p w14:paraId="3F3A4B87" w14:textId="026B6FAC" w:rsidR="00C96D1D" w:rsidRDefault="00C96D1D" w:rsidP="00612147">
            <w:pPr>
              <w:jc w:val="both"/>
            </w:pPr>
            <w:r>
              <w:t>Minimaalne aktsepteeritav kogus</w:t>
            </w:r>
          </w:p>
        </w:tc>
        <w:tc>
          <w:tcPr>
            <w:tcW w:w="1554" w:type="dxa"/>
          </w:tcPr>
          <w:p w14:paraId="3A705DFF" w14:textId="6EA7CDA2" w:rsidR="00C96D1D" w:rsidRDefault="00C96D1D" w:rsidP="00612147">
            <w:pPr>
              <w:jc w:val="both"/>
              <w:cnfStyle w:val="000000000000" w:firstRow="0" w:lastRow="0" w:firstColumn="0" w:lastColumn="0" w:oddVBand="0" w:evenVBand="0" w:oddHBand="0" w:evenHBand="0" w:firstRowFirstColumn="0" w:firstRowLastColumn="0" w:lastRowFirstColumn="0" w:lastRowLastColumn="0"/>
            </w:pPr>
            <w:r>
              <w:t>%</w:t>
            </w:r>
          </w:p>
        </w:tc>
      </w:tr>
      <w:tr w:rsidR="00C96D1D" w14:paraId="23DA4B06" w14:textId="77777777" w:rsidTr="0067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4CB41A8F" w14:textId="29BB9F9F" w:rsidR="00C96D1D" w:rsidRDefault="0017218B" w:rsidP="00612147">
            <w:pPr>
              <w:jc w:val="both"/>
            </w:pPr>
            <w:r>
              <w:t>Reservvõimsuse püsikulu</w:t>
            </w:r>
            <w:r w:rsidR="004B1B58">
              <w:t xml:space="preserve"> kogu perioodiks</w:t>
            </w:r>
          </w:p>
        </w:tc>
        <w:tc>
          <w:tcPr>
            <w:tcW w:w="1554" w:type="dxa"/>
          </w:tcPr>
          <w:p w14:paraId="346BBA64" w14:textId="57AB9F8F" w:rsidR="00C96D1D" w:rsidRDefault="0017218B" w:rsidP="00612147">
            <w:pPr>
              <w:jc w:val="both"/>
              <w:cnfStyle w:val="000000100000" w:firstRow="0" w:lastRow="0" w:firstColumn="0" w:lastColumn="0" w:oddVBand="0" w:evenVBand="0" w:oddHBand="1" w:evenHBand="0" w:firstRowFirstColumn="0" w:firstRowLastColumn="0" w:lastRowFirstColumn="0" w:lastRowLastColumn="0"/>
            </w:pPr>
            <w:r>
              <w:t>€</w:t>
            </w:r>
          </w:p>
        </w:tc>
      </w:tr>
      <w:tr w:rsidR="00C96D1D" w14:paraId="074DFD91" w14:textId="77777777" w:rsidTr="00672DBF">
        <w:tc>
          <w:tcPr>
            <w:cnfStyle w:val="001000000000" w:firstRow="0" w:lastRow="0" w:firstColumn="1" w:lastColumn="0" w:oddVBand="0" w:evenVBand="0" w:oddHBand="0" w:evenHBand="0" w:firstRowFirstColumn="0" w:firstRowLastColumn="0" w:lastRowFirstColumn="0" w:lastRowLastColumn="0"/>
            <w:tcW w:w="4819" w:type="dxa"/>
          </w:tcPr>
          <w:p w14:paraId="087CDD9B" w14:textId="6FAAA96F" w:rsidR="00C96D1D" w:rsidRDefault="0017218B" w:rsidP="00612147">
            <w:pPr>
              <w:jc w:val="both"/>
            </w:pPr>
            <w:r>
              <w:t>Reservvõimsuse aktiveerimise muutuvkulu</w:t>
            </w:r>
          </w:p>
        </w:tc>
        <w:tc>
          <w:tcPr>
            <w:tcW w:w="1554" w:type="dxa"/>
          </w:tcPr>
          <w:p w14:paraId="394E2E2B" w14:textId="3AC0DD1A" w:rsidR="00C96D1D" w:rsidRDefault="0017218B" w:rsidP="00612147">
            <w:pPr>
              <w:jc w:val="both"/>
              <w:cnfStyle w:val="000000000000" w:firstRow="0" w:lastRow="0" w:firstColumn="0" w:lastColumn="0" w:oddVBand="0" w:evenVBand="0" w:oddHBand="0" w:evenHBand="0" w:firstRowFirstColumn="0" w:firstRowLastColumn="0" w:lastRowFirstColumn="0" w:lastRowLastColumn="0"/>
            </w:pPr>
            <w:r>
              <w:t>€ / MWh</w:t>
            </w:r>
          </w:p>
        </w:tc>
      </w:tr>
      <w:tr w:rsidR="0017218B" w14:paraId="7C99B19C" w14:textId="77777777" w:rsidTr="0067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642152A6" w14:textId="6073AD1A" w:rsidR="0017218B" w:rsidRDefault="0017218B" w:rsidP="00612147">
            <w:pPr>
              <w:jc w:val="both"/>
            </w:pPr>
            <w:r>
              <w:t>Reservvõimsuse käivitamise kulu</w:t>
            </w:r>
          </w:p>
        </w:tc>
        <w:tc>
          <w:tcPr>
            <w:tcW w:w="1554" w:type="dxa"/>
          </w:tcPr>
          <w:p w14:paraId="6D6CA8EE" w14:textId="21F51E02" w:rsidR="0017218B" w:rsidRDefault="0017218B" w:rsidP="00612147">
            <w:pPr>
              <w:jc w:val="both"/>
              <w:cnfStyle w:val="000000100000" w:firstRow="0" w:lastRow="0" w:firstColumn="0" w:lastColumn="0" w:oddVBand="0" w:evenVBand="0" w:oddHBand="1" w:evenHBand="0" w:firstRowFirstColumn="0" w:firstRowLastColumn="0" w:lastRowFirstColumn="0" w:lastRowLastColumn="0"/>
            </w:pPr>
            <w:r>
              <w:t xml:space="preserve">€ / käivitamine </w:t>
            </w:r>
          </w:p>
        </w:tc>
      </w:tr>
    </w:tbl>
    <w:p w14:paraId="239E34A5" w14:textId="77777777" w:rsidR="00C96D1D" w:rsidRPr="007F3165" w:rsidRDefault="00C96D1D" w:rsidP="00612147">
      <w:pPr>
        <w:jc w:val="both"/>
      </w:pPr>
    </w:p>
    <w:p w14:paraId="53F8B3D8" w14:textId="14D0C6CF" w:rsidR="001C39AD" w:rsidRDefault="001C39AD" w:rsidP="00612147">
      <w:pPr>
        <w:pStyle w:val="Heading2"/>
        <w:numPr>
          <w:ilvl w:val="1"/>
          <w:numId w:val="24"/>
        </w:numPr>
        <w:jc w:val="both"/>
      </w:pPr>
      <w:bookmarkStart w:id="29" w:name="_Toc86157150"/>
      <w:r>
        <w:t>Vähempakkumise tulemuste selgitus</w:t>
      </w:r>
      <w:bookmarkEnd w:id="29"/>
    </w:p>
    <w:p w14:paraId="28679EE2" w14:textId="4199D207" w:rsidR="005C62EE" w:rsidRPr="005C62EE" w:rsidRDefault="005C62EE" w:rsidP="00612147">
      <w:pPr>
        <w:jc w:val="both"/>
      </w:pPr>
      <w:r>
        <w:t xml:space="preserve">Laekunud pakkumisi võrreldakse kogukulu järgi. Kogukulu koosneb </w:t>
      </w:r>
      <w:r w:rsidR="00705188">
        <w:t xml:space="preserve">reservvõimsuse püsikulust, millele liidetakse juurde arvutuslik käivitamise kulu, mis arvutatakse lähtuvalt tootjate andmetele eeldades ühte käivitamist aastas reservvõimsuse maksimaalse võimsuse juures </w:t>
      </w:r>
      <w:r w:rsidR="006C7491">
        <w:t xml:space="preserve">9 </w:t>
      </w:r>
      <w:r w:rsidR="00705188">
        <w:t>tunni pikkuseks perioodiks.</w:t>
      </w:r>
    </w:p>
    <w:p w14:paraId="485230AA" w14:textId="581A281F" w:rsidR="00C84630" w:rsidRDefault="00572922" w:rsidP="00612147">
      <w:pPr>
        <w:jc w:val="both"/>
      </w:pPr>
      <w:r>
        <w:t xml:space="preserve">Vähempakkumiste tulemuste selgitamiseks järjestatakse pakkumised </w:t>
      </w:r>
      <w:r w:rsidR="00F85AA7">
        <w:t>kogukulu</w:t>
      </w:r>
      <w:r>
        <w:t xml:space="preserve"> alusel, al</w:t>
      </w:r>
      <w:r w:rsidR="00884B99">
        <w:t>ates</w:t>
      </w:r>
      <w:r>
        <w:t xml:space="preserve"> soodsamast. Edukaks kuulutatakse pakkumisi alates odavamast </w:t>
      </w:r>
      <w:r w:rsidR="00C84630">
        <w:t xml:space="preserve">liikudes edasi kuni kallimateni </w:t>
      </w:r>
      <w:r>
        <w:t xml:space="preserve">seni kuni on täidetud </w:t>
      </w:r>
      <w:r w:rsidR="00884B99">
        <w:t>nõutud võimsusmehhanismi maht.</w:t>
      </w:r>
      <w:r w:rsidR="00C84630">
        <w:t xml:space="preserve"> Juhul kui vajalik reservvõimsuse mahu täidavad kaks või enam võrdsete pakkumise hindadega pakkujat, jaotatakse hangitav võimsus pakkujate vahel järgmiste põhimõtete alusel:</w:t>
      </w:r>
    </w:p>
    <w:p w14:paraId="47A64F58" w14:textId="58F01C7A" w:rsidR="00C84630" w:rsidRDefault="00C84630" w:rsidP="00612147">
      <w:pPr>
        <w:pStyle w:val="ListParagraph"/>
        <w:numPr>
          <w:ilvl w:val="0"/>
          <w:numId w:val="21"/>
        </w:numPr>
        <w:jc w:val="both"/>
      </w:pPr>
      <w:r>
        <w:t>Jaotatavate pakkumiste puhul jaotatakse võimsus pakkujate vahel võrdselt</w:t>
      </w:r>
    </w:p>
    <w:p w14:paraId="4F5EAB74" w14:textId="0C974F27" w:rsidR="00C84630" w:rsidRDefault="00C84630" w:rsidP="00612147">
      <w:pPr>
        <w:pStyle w:val="ListParagraph"/>
        <w:numPr>
          <w:ilvl w:val="0"/>
          <w:numId w:val="21"/>
        </w:numPr>
        <w:jc w:val="both"/>
      </w:pPr>
      <w:r>
        <w:t>Jaotamatute pakkumiste puhul, kui piisab ühe pakkuja pakkumise kasutamisest, eelistatakse väiksemate keskkonnaheitmetega pakkujat.</w:t>
      </w:r>
    </w:p>
    <w:p w14:paraId="5984DD59" w14:textId="4E3D9927" w:rsidR="00F47AEB" w:rsidRDefault="00884B99" w:rsidP="00612147">
      <w:pPr>
        <w:jc w:val="both"/>
      </w:pPr>
      <w:r>
        <w:t>Juhul kui viimane edukaks osutunud pakkuja on sooritanud eraldamatu pakkumise („</w:t>
      </w:r>
      <w:r w:rsidR="00E35A6B">
        <w:t>indivisible bid</w:t>
      </w:r>
      <w:r>
        <w:t>“) selliselt, et arvestades pakkumise eraldamatust ei ole võimalik varustada täpselt õiget nõutud võimsusmehhanismi mahtu, leitakse</w:t>
      </w:r>
      <w:r w:rsidR="00510E06">
        <w:t xml:space="preserve"> vähempakkumise tulemuste selgitamiseks</w:t>
      </w:r>
      <w:r>
        <w:t xml:space="preserve"> pakkumistest odavaimate</w:t>
      </w:r>
      <w:r w:rsidR="00510E06">
        <w:t xml:space="preserve"> summaarsete</w:t>
      </w:r>
      <w:r>
        <w:t xml:space="preserve"> kogukuludega pakkumiste koosseis, mis võimaldab täita võimsusmehhanismi kas nõutud mahus või sellest suuremal määral</w:t>
      </w:r>
      <w:r w:rsidR="00510E06">
        <w:t>.</w:t>
      </w:r>
      <w:r w:rsidR="007D7C50">
        <w:t xml:space="preserve"> Säärast rakendatud loogikat kirjeldab alljärgne</w:t>
      </w:r>
      <w:r w:rsidR="00E35A6B">
        <w:t>v loogika.</w:t>
      </w:r>
    </w:p>
    <w:p w14:paraId="582883C7" w14:textId="5B51BB9A" w:rsidR="00E35A6B" w:rsidRDefault="00E35A6B" w:rsidP="00612147">
      <w:pPr>
        <w:jc w:val="both"/>
      </w:pPr>
      <w:r>
        <w:t xml:space="preserve">Edukad võimsuspakkujad </w:t>
      </w:r>
      <w:r w:rsidR="0098420E">
        <w:t>tuvastatakse</w:t>
      </w:r>
      <w:r>
        <w:t xml:space="preserve">, </w:t>
      </w:r>
      <w:r w:rsidR="0098420E">
        <w:t>leides minimaalne võimalik väärtus avaldisele (6.1) olukorras kus on täidetud tingimus (6.2).</w:t>
      </w:r>
    </w:p>
    <w:p w14:paraId="223AC9EF" w14:textId="69A80388" w:rsidR="0098420E" w:rsidRDefault="004D6392" w:rsidP="00612147">
      <w:pPr>
        <w:jc w:val="both"/>
        <w:rPr>
          <w:rFonts w:eastAsiaTheme="minorEastAsia"/>
        </w:rPr>
      </w:pPr>
      <m:oMathPara>
        <m:oMath>
          <m:func>
            <m:funcPr>
              <m:ctrlPr>
                <w:rPr>
                  <w:rFonts w:ascii="Cambria Math" w:hAnsi="Cambria Math"/>
                  <w:i/>
                </w:rPr>
              </m:ctrlPr>
            </m:funcPr>
            <m:fName>
              <m:r>
                <m:rPr>
                  <m:sty m:val="p"/>
                </m:rPr>
                <w:rPr>
                  <w:rFonts w:ascii="Cambria Math" w:hAnsi="Cambria Math"/>
                </w:rPr>
                <m:t>min</m:t>
              </m:r>
            </m:fName>
            <m:e>
              <m:d>
                <m:dPr>
                  <m:ctrlPr>
                    <w:rPr>
                      <w:rFonts w:ascii="Cambria Math" w:hAnsi="Cambria Math"/>
                      <w:i/>
                    </w:rPr>
                  </m:ctrlPr>
                </m:dPr>
                <m:e>
                  <m:r>
                    <w:rPr>
                      <w:rFonts w:ascii="Cambria Math" w:hAnsi="Cambria Math"/>
                    </w:rPr>
                    <m:t>VoLL×EENS+</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K</m:t>
                          </m:r>
                        </m:e>
                        <m:sub>
                          <m:r>
                            <w:rPr>
                              <w:rFonts w:ascii="Cambria Math" w:hAnsi="Cambria Math"/>
                            </w:rPr>
                            <m:t>i</m:t>
                          </m:r>
                        </m:sub>
                      </m:sSub>
                    </m:e>
                  </m:nary>
                </m:e>
              </m:d>
            </m:e>
          </m:func>
          <m:r>
            <w:rPr>
              <w:rFonts w:ascii="Cambria Math" w:eastAsiaTheme="minorEastAsia" w:hAnsi="Cambria Math"/>
            </w:rPr>
            <m:t xml:space="preserve">                 (6.1) </m:t>
          </m:r>
        </m:oMath>
      </m:oMathPara>
    </w:p>
    <w:p w14:paraId="6E36111F" w14:textId="467539EE" w:rsidR="0098420E" w:rsidRPr="00672DBF" w:rsidRDefault="004D6392" w:rsidP="00612147">
      <w:pPr>
        <w:jc w:val="both"/>
        <w:rPr>
          <w:rFonts w:eastAsiaTheme="minorEastAsia"/>
        </w:rPr>
      </w:pPr>
      <m:oMathPara>
        <m:oMath>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≥T                                                       (6.2)</m:t>
              </m:r>
            </m:e>
          </m:nary>
        </m:oMath>
      </m:oMathPara>
    </w:p>
    <w:p w14:paraId="7D3A2AAC" w14:textId="0666330F" w:rsidR="00057F0E" w:rsidRDefault="00672DBF" w:rsidP="00612147">
      <w:pPr>
        <w:jc w:val="both"/>
        <w:rPr>
          <w:rFonts w:eastAsiaTheme="minorEastAsia"/>
        </w:rPr>
      </w:pPr>
      <w:r>
        <w:rPr>
          <w:rFonts w:eastAsiaTheme="minorEastAsia"/>
        </w:rPr>
        <w:t>Kus:</w:t>
      </w:r>
    </w:p>
    <w:p w14:paraId="19C170F0" w14:textId="71926AC4" w:rsidR="00057F0E" w:rsidRDefault="00057F0E" w:rsidP="00612147">
      <w:pPr>
        <w:jc w:val="both"/>
        <w:rPr>
          <w:rFonts w:eastAsiaTheme="minorEastAsia"/>
        </w:rPr>
      </w:pPr>
      <m:oMath>
        <m:r>
          <w:rPr>
            <w:rFonts w:ascii="Cambria Math" w:eastAsiaTheme="minorEastAsia" w:hAnsi="Cambria Math"/>
          </w:rPr>
          <m:t>EENS</m:t>
        </m:r>
      </m:oMath>
      <w:r>
        <w:rPr>
          <w:rFonts w:eastAsiaTheme="minorEastAsia"/>
        </w:rPr>
        <w:t xml:space="preserve"> – Andmata energia kogus kogu rakendatava võimsusmehhanismi toimeperioodi jooksul (MWh);</w:t>
      </w:r>
    </w:p>
    <w:p w14:paraId="60A778B8" w14:textId="0AB992F1" w:rsidR="00462832" w:rsidRDefault="004D6392" w:rsidP="00612147">
      <w:pPr>
        <w:jc w:val="both"/>
        <w:rPr>
          <w:rFonts w:eastAsiaTheme="minorEastAsia"/>
        </w:rPr>
      </w:pPr>
      <m:oMath>
        <m:sSub>
          <m:sSubPr>
            <m:ctrlPr>
              <w:rPr>
                <w:rFonts w:ascii="Cambria Math" w:hAnsi="Cambria Math"/>
                <w:i/>
              </w:rPr>
            </m:ctrlPr>
          </m:sSubPr>
          <m:e>
            <m:r>
              <w:rPr>
                <w:rFonts w:ascii="Cambria Math" w:hAnsi="Cambria Math"/>
              </w:rPr>
              <m:t>K</m:t>
            </m:r>
          </m:e>
          <m:sub>
            <m:r>
              <w:rPr>
                <w:rFonts w:ascii="Cambria Math" w:hAnsi="Cambria Math"/>
              </w:rPr>
              <m:t>i</m:t>
            </m:r>
          </m:sub>
        </m:sSub>
      </m:oMath>
      <w:r w:rsidR="00462832">
        <w:rPr>
          <w:rFonts w:eastAsiaTheme="minorEastAsia"/>
        </w:rPr>
        <w:t xml:space="preserve"> – võimsusepakkuja pakkumuse kogukulu kogu võimsusmehhanismi perioodi peale kokku</w:t>
      </w:r>
      <w:r w:rsidR="00057F0E">
        <w:rPr>
          <w:rFonts w:eastAsiaTheme="minorEastAsia"/>
        </w:rPr>
        <w:t>(€);</w:t>
      </w:r>
    </w:p>
    <w:p w14:paraId="4F50CBDC" w14:textId="5EFC2A01" w:rsidR="00462832" w:rsidRDefault="00462832" w:rsidP="00612147">
      <w:pPr>
        <w:jc w:val="both"/>
        <w:rPr>
          <w:rFonts w:eastAsiaTheme="minorEastAsia"/>
        </w:rPr>
      </w:pPr>
      <m:oMath>
        <m:r>
          <w:rPr>
            <w:rFonts w:ascii="Cambria Math" w:hAnsi="Cambria Math"/>
          </w:rPr>
          <m:t>n</m:t>
        </m:r>
      </m:oMath>
      <w:r>
        <w:rPr>
          <w:rFonts w:eastAsiaTheme="minorEastAsia"/>
        </w:rPr>
        <w:t xml:space="preserve"> – vähempakkumisele kvalifitseerunud võimsusepakkujate koguarv;</w:t>
      </w:r>
    </w:p>
    <w:p w14:paraId="0B32E8EA" w14:textId="0C46D2A3" w:rsidR="00462832" w:rsidRDefault="004D6392" w:rsidP="00612147">
      <w:pPr>
        <w:jc w:val="both"/>
        <w:rPr>
          <w:rFonts w:eastAsiaTheme="minorEastAsia"/>
        </w:rPr>
      </w:pP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00462832">
        <w:rPr>
          <w:rFonts w:eastAsiaTheme="minorEastAsia"/>
        </w:rPr>
        <w:t xml:space="preserve"> - võimsusepakkuja </w:t>
      </w:r>
      <m:oMath>
        <m:r>
          <w:rPr>
            <w:rFonts w:ascii="Cambria Math" w:hAnsi="Cambria Math"/>
          </w:rPr>
          <m:t>i</m:t>
        </m:r>
      </m:oMath>
      <w:r w:rsidR="00462832">
        <w:rPr>
          <w:rFonts w:eastAsiaTheme="minorEastAsia"/>
        </w:rPr>
        <w:t xml:space="preserve"> pakutud elektriline võimsus</w:t>
      </w:r>
      <w:r w:rsidR="00057F0E">
        <w:rPr>
          <w:rFonts w:eastAsiaTheme="minorEastAsia"/>
        </w:rPr>
        <w:t>(MW)</w:t>
      </w:r>
      <w:r w:rsidR="00462832">
        <w:rPr>
          <w:rFonts w:eastAsiaTheme="minorEastAsia"/>
        </w:rPr>
        <w:t>;</w:t>
      </w:r>
    </w:p>
    <w:p w14:paraId="211A4FEB" w14:textId="4E4EB716" w:rsidR="00462832" w:rsidRDefault="00462832" w:rsidP="00612147">
      <w:pPr>
        <w:jc w:val="both"/>
        <w:rPr>
          <w:rFonts w:eastAsiaTheme="minorEastAsia"/>
        </w:rPr>
      </w:pPr>
      <m:oMath>
        <m:r>
          <w:rPr>
            <w:rFonts w:ascii="Cambria Math" w:hAnsi="Cambria Math"/>
          </w:rPr>
          <w:lastRenderedPageBreak/>
          <m:t>T</m:t>
        </m:r>
      </m:oMath>
      <w:r>
        <w:rPr>
          <w:rFonts w:eastAsiaTheme="minorEastAsia"/>
        </w:rPr>
        <w:t xml:space="preserve"> – minimaalne vajalik hangitav reservvõimsuse kogus</w:t>
      </w:r>
      <w:r w:rsidR="007D7C50" w:rsidRPr="009228F8">
        <w:rPr>
          <w:rFonts w:eastAsiaTheme="minorEastAsia"/>
        </w:rPr>
        <w:t xml:space="preserve">, millest vähemalt 80% peavad moodustama </w:t>
      </w:r>
      <w:r w:rsidR="0078689E" w:rsidRPr="009228F8">
        <w:rPr>
          <w:rFonts w:eastAsiaTheme="minorEastAsia"/>
        </w:rPr>
        <w:t>seadmed, mis aktiveerimise ajal on elektrienergia netotootjad</w:t>
      </w:r>
      <w:r w:rsidR="00057F0E" w:rsidRPr="009228F8">
        <w:rPr>
          <w:rFonts w:eastAsiaTheme="minorEastAsia"/>
        </w:rPr>
        <w:t xml:space="preserve"> (MWel).</w:t>
      </w:r>
    </w:p>
    <w:p w14:paraId="725F6900" w14:textId="01CF5D17" w:rsidR="00326F31" w:rsidRPr="00462832" w:rsidRDefault="00F47AEB" w:rsidP="00612147">
      <w:pPr>
        <w:jc w:val="both"/>
        <w:rPr>
          <w:rFonts w:eastAsiaTheme="minorEastAsia"/>
        </w:rPr>
      </w:pPr>
      <w:r>
        <w:t xml:space="preserve">Kui kõigi eelnevalt mainitud kriteeriumite rakendamise järgselt on endiselt kaks või enam pakkumist võrdse väärtusega ning mõned neist tuleb optimaalse lahenduse leidmiseks </w:t>
      </w:r>
      <w:r w:rsidR="00F53400">
        <w:t xml:space="preserve">valikust </w:t>
      </w:r>
      <w:r>
        <w:t xml:space="preserve">eemaldada, tehakse valik kasvuhoonegaaside heitmete järgi, võttes aluseks kasvuhoonegaaside heitmete </w:t>
      </w:r>
      <w:r w:rsidR="00F53400">
        <w:t>määra, mis on arvutatud vastavalt punktis 4.2 kirjeldatud metoodikale mõõdetuna tonnides toodetud megavatt-tunni elektrienergia kohta. Valiku tegemisel eelistatakse väiksemate heitmetega võimsusi.</w:t>
      </w:r>
    </w:p>
    <w:p w14:paraId="5AB05DB2" w14:textId="52A712EC" w:rsidR="00F53400" w:rsidRDefault="00F53400" w:rsidP="00612147">
      <w:pPr>
        <w:jc w:val="both"/>
      </w:pPr>
      <w:r>
        <w:t>Kõik vähempakkumisele esitatud pakkumised avalikustatakse Eleringi kodulehel hiljemalt vähempakkumise tulemuste välja kuulutamise päeva</w:t>
      </w:r>
      <w:r w:rsidR="001F0194">
        <w:t>le järgneval tööpäeval</w:t>
      </w:r>
      <w:r>
        <w:t>.</w:t>
      </w:r>
    </w:p>
    <w:p w14:paraId="42493D35" w14:textId="366ACB6B" w:rsidR="006C3ED7" w:rsidRDefault="006C3ED7" w:rsidP="00612147">
      <w:pPr>
        <w:pStyle w:val="Heading2"/>
        <w:numPr>
          <w:ilvl w:val="1"/>
          <w:numId w:val="24"/>
        </w:numPr>
        <w:jc w:val="both"/>
      </w:pPr>
      <w:bookmarkStart w:id="30" w:name="_Toc86157151"/>
      <w:bookmarkStart w:id="31" w:name="_Ref86158407"/>
      <w:r>
        <w:t>Käivitatud võimsuse selgitus</w:t>
      </w:r>
      <w:bookmarkEnd w:id="30"/>
      <w:bookmarkEnd w:id="31"/>
    </w:p>
    <w:p w14:paraId="627B7CAC" w14:textId="52D15A37" w:rsidR="006C3ED7" w:rsidRDefault="006C3ED7" w:rsidP="00612147">
      <w:pPr>
        <w:jc w:val="both"/>
      </w:pPr>
      <w:r>
        <w:t xml:space="preserve">Võimsuse pakkuja võtab vähempakkumist võites endale kohustuse müüa strateegilise reservi käivituse raames toodetud elekter süsteemihaldurile määratud tarnena vähempakkumise raames pakutud </w:t>
      </w:r>
      <w:r w:rsidR="003B794C">
        <w:t>r</w:t>
      </w:r>
      <w:r>
        <w:t xml:space="preserve">eservvõimsuse aktiveerimise muutuvkulu hinnaga. </w:t>
      </w:r>
    </w:p>
    <w:p w14:paraId="3A881054" w14:textId="02A84813" w:rsidR="003B794C" w:rsidRDefault="003B794C" w:rsidP="00612147">
      <w:pPr>
        <w:jc w:val="both"/>
      </w:pPr>
      <w:r>
        <w:t>Strateegilise reservi võimsuse kui turuosalise bilansiselgitus koostatakse samadel põhimõtetel teiste turuosalistega. See tähendab, et võimsus peab omama avatud tarne lepingut, mille alusel on ta määratud bilansihalduri bilansipiirkonda. Võimsuse mõõtepunktid kuuluvad tema bilansihalduri bilansipiirkoda ning ebabilansi selgitus toimub süsteemihalduri ja bilansihalduri vahel elektrienergia bilansilepingu tüüptingimuste alusel.</w:t>
      </w:r>
    </w:p>
    <w:p w14:paraId="10E72BD4" w14:textId="42A06DDD" w:rsidR="003B794C" w:rsidRDefault="003B794C" w:rsidP="00612147">
      <w:pPr>
        <w:jc w:val="both"/>
      </w:pPr>
      <w:r>
        <w:t xml:space="preserve">Strateegilise reservi võimsus on kohustatud tootma elektrienergiat süsteemihalduri poolt esitatud tellimuse mahus. Tellimusest kõrvalekalde maksimaalne lubatud vahemik on </w:t>
      </w:r>
      <w:r w:rsidR="008B13B6">
        <w:t>10</w:t>
      </w:r>
      <w:r>
        <w:t xml:space="preserve">%.  Võimsuse pakkuja on kohustatud edastama süsteemihaldurile reaalajalähedased mõõteandmed ning kommertsmõõtepunktide mõõteandmed. Lubatud mahus ületatud ebabilansi eest tasub võimsuse pakkuja süsteemihaldurile trahvi vastavalt punktile </w:t>
      </w:r>
      <w:r>
        <w:fldChar w:fldCharType="begin"/>
      </w:r>
      <w:r>
        <w:instrText xml:space="preserve"> REF _Ref77577009 \r \h  \* MERGEFORMAT </w:instrText>
      </w:r>
      <w:r>
        <w:fldChar w:fldCharType="separate"/>
      </w:r>
      <w:r>
        <w:t>5.4.2</w:t>
      </w:r>
      <w:r>
        <w:fldChar w:fldCharType="end"/>
      </w:r>
      <w:r>
        <w:t>.</w:t>
      </w:r>
    </w:p>
    <w:p w14:paraId="0F89182B" w14:textId="78CF73DA" w:rsidR="003B794C" w:rsidRDefault="003B794C" w:rsidP="00612147">
      <w:pPr>
        <w:jc w:val="both"/>
      </w:pPr>
      <w:r>
        <w:t xml:space="preserve">Kui süsteemihaldur tellib strateegilise reservi kasutamist enne operatiivtundi, kajastatakse tarned bilansiportfellide vaheliste määratud tarnetena (bilansihaldurile ebabilanss on tellimuse ja mõõdetud energia vahe). Süsteemihaldur kooskõlastab võimsuse pakkuja bilansihalduriga bilansiportfellide vahelise andmevahetuse. </w:t>
      </w:r>
    </w:p>
    <w:p w14:paraId="1970ED49" w14:textId="2A336C36" w:rsidR="003B794C" w:rsidRDefault="003B794C" w:rsidP="00612147">
      <w:pPr>
        <w:jc w:val="both"/>
      </w:pPr>
      <w:r>
        <w:t>Kui süsteemihaldur tellib strateegilise reservjaama operatiivtunni sees, kajastatakse tarned bilansiportfellide vaheliste reguleerimistarnetena (bilansihaldurile ebabilanss on tellimuse ja mõõdetud energia vahe).</w:t>
      </w:r>
    </w:p>
    <w:p w14:paraId="447EDE0D" w14:textId="6B215B92" w:rsidR="003B794C" w:rsidRDefault="003B794C" w:rsidP="00612147">
      <w:pPr>
        <w:jc w:val="both"/>
      </w:pPr>
      <w:r>
        <w:t xml:space="preserve">Poolte vahelise lepingu alusel koostab süsteemihaldur võimsuse pakkujale täiendava selgituse kontrollimaks, kas ebabilanss jäi maksimaalse lubatud kõrvalekalde vahemikku. Kui kõrvalekalle ületas lubatud vahemikku tuleb võimsuse pakkujal tasuda süsteemihaldurile trahv vastavalt punktile </w:t>
      </w:r>
      <w:r>
        <w:fldChar w:fldCharType="begin"/>
      </w:r>
      <w:r>
        <w:instrText xml:space="preserve"> REF _Ref77577009 \r \h </w:instrText>
      </w:r>
      <w:r w:rsidR="00612147">
        <w:instrText xml:space="preserve"> \* MERGEFORMAT </w:instrText>
      </w:r>
      <w:r>
        <w:fldChar w:fldCharType="separate"/>
      </w:r>
      <w:r>
        <w:t>5.4.2</w:t>
      </w:r>
      <w:r>
        <w:fldChar w:fldCharType="end"/>
      </w:r>
      <w:r>
        <w:t>.</w:t>
      </w:r>
      <w:r w:rsidR="0069565B">
        <w:t xml:space="preserve"> Seade, mis osaleb strateegilises reservis ei saa elektriturgudelt tulu teenida, seal hulgas olukorras, kui tootmine on suurem käivitatud kogusest ei saa enam toodetud osa eest bilansienergia hinda. </w:t>
      </w:r>
    </w:p>
    <w:p w14:paraId="1B594202" w14:textId="54B0FB79" w:rsidR="006C3ED7" w:rsidRPr="006C3ED7" w:rsidRDefault="006C3ED7" w:rsidP="00612147">
      <w:pPr>
        <w:jc w:val="both"/>
      </w:pPr>
    </w:p>
    <w:p w14:paraId="7339C41D" w14:textId="767EC5C3" w:rsidR="00C72430" w:rsidRDefault="00C72430" w:rsidP="00612147">
      <w:pPr>
        <w:pStyle w:val="Heading1"/>
        <w:numPr>
          <w:ilvl w:val="0"/>
          <w:numId w:val="24"/>
        </w:numPr>
        <w:jc w:val="both"/>
      </w:pPr>
      <w:bookmarkStart w:id="32" w:name="_Toc86157152"/>
      <w:r>
        <w:lastRenderedPageBreak/>
        <w:t>Võimsusmehhanismi süsteemi rahastus</w:t>
      </w:r>
      <w:bookmarkEnd w:id="32"/>
    </w:p>
    <w:p w14:paraId="3A49E9F7" w14:textId="1C7CFFB8" w:rsidR="001329CD" w:rsidRPr="000C031F" w:rsidRDefault="001329CD" w:rsidP="00612147">
      <w:pPr>
        <w:jc w:val="both"/>
      </w:pPr>
      <w:r w:rsidRPr="000C031F">
        <w:t xml:space="preserve">Võimsusmehhanismi rahastatakse </w:t>
      </w:r>
      <w:r>
        <w:t xml:space="preserve">läbi „Strateegilise reservi tasu“ kogumise. Tasuga kaetakse maksed võimsuse pakkujatele võimsuse valmiduse eest, kulud strateegilise reservi käivitamisele ning strateegilise reservi haldamisega seotud kulud. Strateegilise reservi halduri finantsneutraalsus tagatakse läbi </w:t>
      </w:r>
      <w:r w:rsidR="00797860">
        <w:t>ühe aasta jooksul üle- või alakogutud tasu arvestamisega järgmise aasta tasu arvutamisel.</w:t>
      </w:r>
    </w:p>
    <w:p w14:paraId="42AAD6D7" w14:textId="77777777" w:rsidR="00797860" w:rsidRDefault="00797860" w:rsidP="00612147">
      <w:pPr>
        <w:keepNext/>
        <w:jc w:val="both"/>
      </w:pPr>
      <w:r>
        <w:rPr>
          <w:rStyle w:val="Heading2Char"/>
        </w:rPr>
        <w:t xml:space="preserve"> </w:t>
      </w:r>
      <w:r w:rsidR="00F01074">
        <w:rPr>
          <w:noProof/>
        </w:rPr>
        <w:drawing>
          <wp:inline distT="0" distB="0" distL="0" distR="0" wp14:anchorId="4EBD2842" wp14:editId="1B59BFF6">
            <wp:extent cx="5558790" cy="2782622"/>
            <wp:effectExtent l="3810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7934A75" w14:textId="21AF8BA4" w:rsidR="00F01074" w:rsidRDefault="00797860" w:rsidP="00612147">
      <w:pPr>
        <w:pStyle w:val="Caption"/>
        <w:jc w:val="both"/>
      </w:pPr>
      <w:r>
        <w:t xml:space="preserve">Joonis </w:t>
      </w:r>
      <w:fldSimple w:instr=" SEQ Joonis \* ARABIC ">
        <w:r w:rsidR="005571FB">
          <w:rPr>
            <w:noProof/>
          </w:rPr>
          <w:t>6</w:t>
        </w:r>
      </w:fldSimple>
      <w:r>
        <w:t xml:space="preserve"> Strateegilise reservi rahastamise skeem</w:t>
      </w:r>
    </w:p>
    <w:p w14:paraId="52FB9BFB" w14:textId="77777777" w:rsidR="00F01074" w:rsidRDefault="00F01074" w:rsidP="00612147">
      <w:pPr>
        <w:jc w:val="both"/>
      </w:pPr>
    </w:p>
    <w:p w14:paraId="4BC8177F" w14:textId="4DDF6251" w:rsidR="006E272E" w:rsidRPr="00CC6B02" w:rsidRDefault="006E272E" w:rsidP="00612147">
      <w:pPr>
        <w:pStyle w:val="Heading2"/>
        <w:numPr>
          <w:ilvl w:val="1"/>
          <w:numId w:val="24"/>
        </w:numPr>
        <w:jc w:val="both"/>
      </w:pPr>
      <w:bookmarkStart w:id="33" w:name="_Toc86157153"/>
      <w:r w:rsidRPr="00CC6B02">
        <w:t>Võimsus</w:t>
      </w:r>
      <w:r w:rsidR="00573FBB">
        <w:t>maksed</w:t>
      </w:r>
      <w:r w:rsidRPr="00CC6B02">
        <w:t xml:space="preserve"> võimsuste pakkujatele</w:t>
      </w:r>
      <w:bookmarkEnd w:id="33"/>
    </w:p>
    <w:p w14:paraId="5C503BF8" w14:textId="0E9FB83A" w:rsidR="00CC6B02" w:rsidRDefault="00CC6B02" w:rsidP="00612147">
      <w:pPr>
        <w:jc w:val="both"/>
      </w:pPr>
      <w:r>
        <w:t xml:space="preserve">Vähempakkumisel võitjateks osutunud võimsuse pakkujatele </w:t>
      </w:r>
      <w:r w:rsidR="00573FBB">
        <w:t>tehakse</w:t>
      </w:r>
      <w:r>
        <w:t xml:space="preserve"> strateegilises reservis osalemise eest </w:t>
      </w:r>
      <w:r w:rsidR="00573FBB">
        <w:t>makseid</w:t>
      </w:r>
      <w:r>
        <w:t xml:space="preserve"> vastavalt nende</w:t>
      </w:r>
      <w:r w:rsidR="009907FB">
        <w:t xml:space="preserve"> tehtud</w:t>
      </w:r>
      <w:r>
        <w:t xml:space="preserve"> pakkumise</w:t>
      </w:r>
      <w:r w:rsidR="00573FBB">
        <w:t xml:space="preserve"> hinnale</w:t>
      </w:r>
      <w:r w:rsidR="00823488">
        <w:t xml:space="preserve">. Makseid tehakse </w:t>
      </w:r>
      <w:r w:rsidR="00573FBB">
        <w:t>igakuiselt</w:t>
      </w:r>
      <w:r w:rsidR="00331CEE" w:rsidRPr="00331CEE">
        <w:t xml:space="preserve"> vastavalt </w:t>
      </w:r>
      <w:r w:rsidR="00331CEE" w:rsidRPr="00573FBB">
        <w:t xml:space="preserve">üks </w:t>
      </w:r>
      <w:r w:rsidR="00573FBB">
        <w:t>kolmekümnekuuendik</w:t>
      </w:r>
      <w:r w:rsidR="00823488" w:rsidRPr="00331CEE">
        <w:t xml:space="preserve"> </w:t>
      </w:r>
      <w:r w:rsidR="00797860" w:rsidRPr="00797860">
        <w:t xml:space="preserve">reservvõimsuse püsikulu </w:t>
      </w:r>
      <w:r w:rsidR="00331CEE">
        <w:t>summast</w:t>
      </w:r>
      <w:r w:rsidR="009907FB">
        <w:t xml:space="preserve">. Maksed teostatakse </w:t>
      </w:r>
      <w:r w:rsidR="00573FBB" w:rsidRPr="00573FBB">
        <w:t>36</w:t>
      </w:r>
      <w:r w:rsidR="009907FB" w:rsidRPr="00573FBB">
        <w:t xml:space="preserve"> võrdses osas</w:t>
      </w:r>
      <w:r w:rsidR="009907FB">
        <w:t>.</w:t>
      </w:r>
    </w:p>
    <w:p w14:paraId="2577EC31" w14:textId="77777777" w:rsidR="00797860" w:rsidRDefault="00823488" w:rsidP="00612147">
      <w:pPr>
        <w:jc w:val="both"/>
      </w:pPr>
      <w:bookmarkStart w:id="34" w:name="_Hlk80086734"/>
      <w:r>
        <w:t>Maksetele lisanduvad käivitamise tasud vastavalt käivitamise arvule ning vähempakkumise raames tehtud pakkumise r</w:t>
      </w:r>
      <w:r w:rsidRPr="00823488">
        <w:t>eservvõimsuse käivitamise kulu</w:t>
      </w:r>
      <w:r>
        <w:t>le.</w:t>
      </w:r>
    </w:p>
    <w:bookmarkEnd w:id="34"/>
    <w:p w14:paraId="6303A036" w14:textId="02B8718C" w:rsidR="00E63962" w:rsidRDefault="00CC6B02" w:rsidP="00E63962">
      <w:pPr>
        <w:jc w:val="both"/>
      </w:pPr>
      <w:r>
        <w:t>Võimsuse pakkujatele makstakse strateegilises reservis osalemise eest tasu välja kord kuus vastavalt nende poolt esitatud arvele.</w:t>
      </w:r>
      <w:bookmarkStart w:id="35" w:name="_Hlk80086756"/>
    </w:p>
    <w:p w14:paraId="78E8B15E" w14:textId="77777777" w:rsidR="00E63962" w:rsidRDefault="00E63962" w:rsidP="00E63962">
      <w:pPr>
        <w:jc w:val="both"/>
      </w:pPr>
    </w:p>
    <w:p w14:paraId="6AAA7087" w14:textId="3E73FCDD" w:rsidR="00E63962" w:rsidRDefault="00E63962" w:rsidP="00E63962">
      <w:pPr>
        <w:pStyle w:val="Heading2"/>
        <w:numPr>
          <w:ilvl w:val="1"/>
          <w:numId w:val="24"/>
        </w:numPr>
      </w:pPr>
      <w:bookmarkStart w:id="36" w:name="_Toc86157154"/>
      <w:r>
        <w:t>Strateegilise reservi tasu kogumine</w:t>
      </w:r>
      <w:bookmarkEnd w:id="36"/>
    </w:p>
    <w:p w14:paraId="78195B34" w14:textId="3C9B63BE" w:rsidR="006E272E" w:rsidRDefault="00E63962" w:rsidP="00612147">
      <w:pPr>
        <w:jc w:val="both"/>
      </w:pPr>
      <w:r w:rsidRPr="00EB21CF">
        <w:t xml:space="preserve">Strateegilise reservi rahastamiseks vajalikud vahendid </w:t>
      </w:r>
      <w:r w:rsidR="006E272E" w:rsidRPr="00EB21CF">
        <w:t>kogutakse tarbijatelt kokku eraldi „Strateegilise reservi tasu“ komponendiga elektriarvel</w:t>
      </w:r>
      <w:bookmarkEnd w:id="35"/>
      <w:r w:rsidR="006E272E" w:rsidRPr="00EB21CF">
        <w:t>.</w:t>
      </w:r>
      <w:r w:rsidR="006E272E">
        <w:t xml:space="preserve"> </w:t>
      </w:r>
      <w:r w:rsidR="00797860">
        <w:t>Süsteemihaldur</w:t>
      </w:r>
      <w:r w:rsidR="006E272E">
        <w:t xml:space="preserve"> prognoosib</w:t>
      </w:r>
      <w:r>
        <w:t xml:space="preserve"> igal aastal</w:t>
      </w:r>
      <w:r w:rsidR="006E272E">
        <w:t xml:space="preserve"> järgmise aasta kulud 1. detsembriks. Jaotusvõrgud ja liinivaldajad koguvad </w:t>
      </w:r>
      <w:r w:rsidR="00797860">
        <w:t>tasu</w:t>
      </w:r>
      <w:r w:rsidR="006E272E">
        <w:t xml:space="preserve"> lõpptarbijatelt</w:t>
      </w:r>
      <w:r w:rsidR="00797860">
        <w:t xml:space="preserve"> vastavalt </w:t>
      </w:r>
      <w:r w:rsidR="00573FBB">
        <w:t xml:space="preserve">tegelikule </w:t>
      </w:r>
      <w:r w:rsidR="00797860">
        <w:t>tarbimisele</w:t>
      </w:r>
      <w:r w:rsidR="0096479F">
        <w:t xml:space="preserve"> analoogselt taastuvenergiatasule</w:t>
      </w:r>
      <w:r w:rsidR="006E272E">
        <w:t xml:space="preserve">. </w:t>
      </w:r>
      <w:bookmarkStart w:id="37" w:name="_Hlk80086792"/>
      <w:r w:rsidR="00797860">
        <w:t>Süsteemihaldur</w:t>
      </w:r>
      <w:r w:rsidR="006E272E">
        <w:t xml:space="preserve"> esitab</w:t>
      </w:r>
      <w:r w:rsidR="00573FBB">
        <w:t xml:space="preserve"> strateegilise reservi tasu</w:t>
      </w:r>
      <w:r w:rsidR="006E272E">
        <w:t xml:space="preserve"> arved jaotusvõrkudele ja liinivaldajatele vastavalt nende poolt esitatud tarbimise koguste</w:t>
      </w:r>
      <w:r w:rsidR="0096479F">
        <w:t xml:space="preserve"> informatsioonile</w:t>
      </w:r>
      <w:r w:rsidR="006E272E">
        <w:t>.</w:t>
      </w:r>
      <w:bookmarkEnd w:id="37"/>
    </w:p>
    <w:p w14:paraId="7FCCDD29" w14:textId="621E4E79" w:rsidR="006E272E" w:rsidRDefault="00797860" w:rsidP="00612147">
      <w:pPr>
        <w:jc w:val="both"/>
      </w:pPr>
      <w:bookmarkStart w:id="38" w:name="_Hlk80086898"/>
      <w:r>
        <w:t>Tasu arvutatakse vastavalt järgnevale valemile.</w:t>
      </w:r>
    </w:p>
    <w:p w14:paraId="714D7716" w14:textId="6A4A5D42" w:rsidR="006E272E" w:rsidRDefault="006E272E" w:rsidP="00612147">
      <w:pPr>
        <w:jc w:val="both"/>
      </w:pPr>
      <w:r>
        <w:t xml:space="preserve">Tasu = [Võimsuse ostmise kulu + </w:t>
      </w:r>
      <w:r w:rsidR="0096479F">
        <w:t>M</w:t>
      </w:r>
      <w:r>
        <w:t xml:space="preserve">ehhanismi administreerimise kulu +- </w:t>
      </w:r>
      <w:r w:rsidR="0096479F">
        <w:t>E</w:t>
      </w:r>
      <w:r>
        <w:t>elmise perioodi jääk</w:t>
      </w:r>
      <w:r w:rsidR="00E63962">
        <w:t xml:space="preserve"> + 10% likviidsusreserv</w:t>
      </w:r>
      <w:r>
        <w:t xml:space="preserve">] / </w:t>
      </w:r>
      <w:r w:rsidR="00D9054F">
        <w:t>[</w:t>
      </w:r>
      <w:r w:rsidR="0096479F">
        <w:t>L</w:t>
      </w:r>
      <w:r>
        <w:t>õpptarbimi</w:t>
      </w:r>
      <w:r w:rsidR="00573FBB">
        <w:t>s</w:t>
      </w:r>
      <w:r>
        <w:t>e</w:t>
      </w:r>
      <w:r w:rsidR="00573FBB">
        <w:t xml:space="preserve"> prognoos</w:t>
      </w:r>
      <w:r w:rsidR="00D9054F">
        <w:t>]</w:t>
      </w:r>
    </w:p>
    <w:p w14:paraId="7875C2B2" w14:textId="53E4FE3A" w:rsidR="006E272E" w:rsidRDefault="00D9054F" w:rsidP="00612147">
      <w:pPr>
        <w:jc w:val="both"/>
      </w:pPr>
      <w:r>
        <w:lastRenderedPageBreak/>
        <w:t>[</w:t>
      </w:r>
      <w:r w:rsidR="00B35CC6">
        <w:t>lõpptarbimi</w:t>
      </w:r>
      <w:r w:rsidR="0096479F">
        <w:t>se prognoos</w:t>
      </w:r>
      <w:r>
        <w:t xml:space="preserve">] </w:t>
      </w:r>
      <w:r w:rsidR="00D02775">
        <w:t xml:space="preserve">– </w:t>
      </w:r>
      <w:r w:rsidR="0096479F">
        <w:t xml:space="preserve">prognoos </w:t>
      </w:r>
      <w:r w:rsidR="00D02775">
        <w:t>kõigi tarbijate võrguteenuse tarbimise mah</w:t>
      </w:r>
      <w:r w:rsidR="0096479F">
        <w:t>u</w:t>
      </w:r>
      <w:r w:rsidR="00D02775">
        <w:t xml:space="preserve"> ja </w:t>
      </w:r>
      <w:r w:rsidR="00D02775" w:rsidRPr="00D02775">
        <w:t>otseliini kaudu tarbitud elektrienergia kogus</w:t>
      </w:r>
      <w:r w:rsidR="0096479F">
        <w:t>e kohta</w:t>
      </w:r>
      <w:r w:rsidR="00D02775">
        <w:t xml:space="preserve"> </w:t>
      </w:r>
      <w:r w:rsidR="0096479F">
        <w:t>järgneval aastal</w:t>
      </w:r>
      <w:r w:rsidR="00D02775">
        <w:t>.</w:t>
      </w:r>
    </w:p>
    <w:bookmarkEnd w:id="38"/>
    <w:p w14:paraId="6C0B2E80" w14:textId="5407E5FD" w:rsidR="00B35CC6" w:rsidRDefault="0096479F" w:rsidP="00612147">
      <w:pPr>
        <w:jc w:val="both"/>
      </w:pPr>
      <w:r>
        <w:t>[</w:t>
      </w:r>
      <w:r w:rsidR="00B35CC6">
        <w:t>Võimsuse ostmise kulu</w:t>
      </w:r>
      <w:r>
        <w:t>] – kulu, mille</w:t>
      </w:r>
      <w:r w:rsidR="00B35CC6">
        <w:t xml:space="preserve"> hulka kuulub r</w:t>
      </w:r>
      <w:r w:rsidR="00B35CC6" w:rsidRPr="00B35CC6">
        <w:t>eservvõimsuse püsikulu</w:t>
      </w:r>
      <w:r w:rsidR="00B35CC6">
        <w:t>, reservvõimsuse käivitamise kulu ja reservvõimsuse aktiveerimise muutuvkulu.</w:t>
      </w:r>
    </w:p>
    <w:p w14:paraId="4E0F0588" w14:textId="26B05ACD" w:rsidR="0096479F" w:rsidRDefault="0096479F" w:rsidP="00612147">
      <w:pPr>
        <w:jc w:val="both"/>
      </w:pPr>
      <w:r>
        <w:t>[Mehhanismi administreerimise kulu] – strateegilise reservi administreerimisega seotud kulud.</w:t>
      </w:r>
    </w:p>
    <w:p w14:paraId="463AF78B" w14:textId="31C25DFC" w:rsidR="0096479F" w:rsidRDefault="0096479F" w:rsidP="00612147">
      <w:pPr>
        <w:jc w:val="both"/>
      </w:pPr>
      <w:r>
        <w:t>[Eelmise perioodi jääk] – Strateegilise reservi eelmisel perioodil ala- või ülelaekunud vahendid.</w:t>
      </w:r>
    </w:p>
    <w:p w14:paraId="0A381E85" w14:textId="102D6A2D" w:rsidR="00D57A79" w:rsidRDefault="00B35CC6" w:rsidP="00612147">
      <w:pPr>
        <w:jc w:val="both"/>
      </w:pPr>
      <w:r>
        <w:t>Näitena strateegilise reservi tasu arvutusest ja e</w:t>
      </w:r>
      <w:r w:rsidR="00D57A79">
        <w:t xml:space="preserve">eldades strateegilise reservi kulu </w:t>
      </w:r>
      <w:r>
        <w:t>18</w:t>
      </w:r>
      <w:r w:rsidR="00D57A79">
        <w:t xml:space="preserve"> MEURi aastas </w:t>
      </w:r>
      <w:r>
        <w:t>ning</w:t>
      </w:r>
      <w:r w:rsidR="00D57A79">
        <w:t xml:space="preserve"> 2020</w:t>
      </w:r>
      <w:r w:rsidR="00A56812">
        <w:t>. aasta tarbimisega</w:t>
      </w:r>
      <w:r w:rsidR="00D57A79">
        <w:t>, oleks strateegilise reservi tasu</w:t>
      </w:r>
      <w:r w:rsidRPr="00B35CC6">
        <w:t xml:space="preserve"> </w:t>
      </w:r>
      <w:r w:rsidR="00A56812">
        <w:t>2,26</w:t>
      </w:r>
      <w:r w:rsidR="00D57A79">
        <w:t xml:space="preserve"> €/MWh.</w:t>
      </w:r>
    </w:p>
    <w:p w14:paraId="323A7C05" w14:textId="46D7B97D" w:rsidR="00F935D6" w:rsidRDefault="00F935D6" w:rsidP="00612147">
      <w:pPr>
        <w:jc w:val="both"/>
      </w:pPr>
      <w:r>
        <w:t>Lisaks strateegilise reservi tasule võib süsteemihaldur teenida tulu läbi</w:t>
      </w:r>
      <w:r w:rsidR="0059479E">
        <w:t xml:space="preserve"> trahvide ja</w:t>
      </w:r>
      <w:r>
        <w:t xml:space="preserve"> </w:t>
      </w:r>
      <w:r w:rsidR="008C0829">
        <w:t>bilansiselgituse, müües strateegilise reservi raames toodetud energiat bilansihalduritele. Tulu, mis kogutakse üle strateegilise reservi kulude katmiseks vajaliku, võetakse arvesse järgmise perioodi tasu arvutamisel.</w:t>
      </w:r>
    </w:p>
    <w:p w14:paraId="1D049AEC" w14:textId="1AD73CB8" w:rsidR="00797860" w:rsidRPr="00976A04" w:rsidRDefault="00797860" w:rsidP="00612147">
      <w:pPr>
        <w:pStyle w:val="ListParagraph"/>
        <w:numPr>
          <w:ilvl w:val="1"/>
          <w:numId w:val="24"/>
        </w:numPr>
        <w:jc w:val="both"/>
      </w:pPr>
      <w:bookmarkStart w:id="39" w:name="_Toc86157155"/>
      <w:r w:rsidRPr="00976A04">
        <w:rPr>
          <w:rStyle w:val="Heading2Char"/>
        </w:rPr>
        <w:t>Mehhanismi administreerimise kulud</w:t>
      </w:r>
      <w:bookmarkEnd w:id="39"/>
    </w:p>
    <w:p w14:paraId="54B8054F" w14:textId="77777777" w:rsidR="00797860" w:rsidRDefault="00797860" w:rsidP="00612147">
      <w:pPr>
        <w:jc w:val="both"/>
      </w:pPr>
      <w:r>
        <w:t>Strateegilise reservi haldamise kulude hulka kuuluvad:</w:t>
      </w:r>
    </w:p>
    <w:p w14:paraId="32B07CAB" w14:textId="77777777" w:rsidR="00797860" w:rsidRDefault="00797860" w:rsidP="00612147">
      <w:pPr>
        <w:pStyle w:val="ListParagraph"/>
        <w:numPr>
          <w:ilvl w:val="0"/>
          <w:numId w:val="22"/>
        </w:numPr>
        <w:jc w:val="both"/>
      </w:pPr>
      <w:r>
        <w:t>rakendamise ettevalmistamise kulud;</w:t>
      </w:r>
    </w:p>
    <w:p w14:paraId="37AB8536" w14:textId="77777777" w:rsidR="00797860" w:rsidRDefault="00797860" w:rsidP="00612147">
      <w:pPr>
        <w:pStyle w:val="ListParagraph"/>
        <w:numPr>
          <w:ilvl w:val="0"/>
          <w:numId w:val="22"/>
        </w:numPr>
        <w:jc w:val="both"/>
      </w:pPr>
      <w:r>
        <w:t>vähempakkumiste läbiviimise kulud;</w:t>
      </w:r>
    </w:p>
    <w:p w14:paraId="4A224155" w14:textId="77777777" w:rsidR="00797860" w:rsidRDefault="00797860" w:rsidP="00612147">
      <w:pPr>
        <w:pStyle w:val="ListParagraph"/>
        <w:numPr>
          <w:ilvl w:val="0"/>
          <w:numId w:val="22"/>
        </w:numPr>
        <w:jc w:val="both"/>
      </w:pPr>
      <w:r>
        <w:t>võimsuste testimisega seotud kulud Strateegilise Reservi haldurile;</w:t>
      </w:r>
    </w:p>
    <w:p w14:paraId="1F31361E" w14:textId="77777777" w:rsidR="00797860" w:rsidRDefault="00797860" w:rsidP="00612147">
      <w:pPr>
        <w:pStyle w:val="ListParagraph"/>
        <w:numPr>
          <w:ilvl w:val="0"/>
          <w:numId w:val="22"/>
        </w:numPr>
        <w:jc w:val="both"/>
      </w:pPr>
      <w:r>
        <w:t>võimsuste valmisoleku järelevalve teostamise kulud;</w:t>
      </w:r>
    </w:p>
    <w:p w14:paraId="3DF5E761" w14:textId="77777777" w:rsidR="00797860" w:rsidRDefault="00797860" w:rsidP="00612147">
      <w:pPr>
        <w:pStyle w:val="ListParagraph"/>
        <w:numPr>
          <w:ilvl w:val="0"/>
          <w:numId w:val="22"/>
        </w:numPr>
        <w:jc w:val="both"/>
      </w:pPr>
      <w:r>
        <w:t>reservis osalemise eest tehtavate maksete arveldamisega seotud kulud;</w:t>
      </w:r>
    </w:p>
    <w:p w14:paraId="1DBA3CD9" w14:textId="77777777" w:rsidR="00797860" w:rsidRDefault="00797860" w:rsidP="00612147">
      <w:pPr>
        <w:pStyle w:val="ListParagraph"/>
        <w:numPr>
          <w:ilvl w:val="0"/>
          <w:numId w:val="22"/>
        </w:numPr>
        <w:jc w:val="both"/>
      </w:pPr>
      <w:r>
        <w:t>reservi kulude katteks kogutavate tasude arveldamisega seotud kulud;</w:t>
      </w:r>
    </w:p>
    <w:p w14:paraId="0CBD04B0" w14:textId="77777777" w:rsidR="00797860" w:rsidRDefault="00797860" w:rsidP="00612147">
      <w:pPr>
        <w:pStyle w:val="ListParagraph"/>
        <w:numPr>
          <w:ilvl w:val="0"/>
          <w:numId w:val="22"/>
        </w:numPr>
        <w:jc w:val="both"/>
      </w:pPr>
      <w:r>
        <w:t>muud mehhanismi administreerimisega seotud kulud.</w:t>
      </w:r>
    </w:p>
    <w:p w14:paraId="4A697BB9" w14:textId="68E62C0A" w:rsidR="00797860" w:rsidRDefault="00797860" w:rsidP="00612147">
      <w:pPr>
        <w:jc w:val="both"/>
      </w:pPr>
      <w:r>
        <w:t xml:space="preserve">Administreerimise kulu kompenseeritakse mehhanismi </w:t>
      </w:r>
      <w:r w:rsidR="00B35CC6">
        <w:t>haldurile</w:t>
      </w:r>
      <w:r>
        <w:t xml:space="preserve"> läbi strateegilise reservi tasu.</w:t>
      </w:r>
    </w:p>
    <w:p w14:paraId="035245E8" w14:textId="77777777" w:rsidR="00797860" w:rsidRPr="006E272E" w:rsidRDefault="00797860" w:rsidP="00612147">
      <w:pPr>
        <w:jc w:val="both"/>
      </w:pPr>
    </w:p>
    <w:p w14:paraId="77044646" w14:textId="2DACA975" w:rsidR="00B82341" w:rsidRPr="00612147" w:rsidRDefault="00B82341" w:rsidP="00612147"/>
    <w:sectPr w:rsidR="00B82341" w:rsidRPr="00612147">
      <w:headerReference w:type="default" r:id="rId2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77C848" w14:textId="77777777" w:rsidR="004D6392" w:rsidRDefault="004D6392" w:rsidP="007A7DDA">
      <w:pPr>
        <w:spacing w:after="0" w:line="240" w:lineRule="auto"/>
      </w:pPr>
      <w:r>
        <w:separator/>
      </w:r>
    </w:p>
  </w:endnote>
  <w:endnote w:type="continuationSeparator" w:id="0">
    <w:p w14:paraId="4ABA4443" w14:textId="77777777" w:rsidR="004D6392" w:rsidRDefault="004D6392" w:rsidP="007A7DDA">
      <w:pPr>
        <w:spacing w:after="0" w:line="240" w:lineRule="auto"/>
      </w:pPr>
      <w:r>
        <w:continuationSeparator/>
      </w:r>
    </w:p>
  </w:endnote>
  <w:endnote w:type="continuationNotice" w:id="1">
    <w:p w14:paraId="02287F23" w14:textId="77777777" w:rsidR="004D6392" w:rsidRDefault="004D63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EUAlbertina">
    <w:altName w:val="EU Albertina"/>
    <w:panose1 w:val="00000000000000000000"/>
    <w:charset w:val="EE"/>
    <w:family w:val="roman"/>
    <w:notTrueType/>
    <w:pitch w:val="default"/>
    <w:sig w:usb0="00000005" w:usb1="00000000" w:usb2="00000000" w:usb3="00000000" w:csb0="00000002"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164F4" w14:textId="77777777" w:rsidR="004D6392" w:rsidRDefault="004D63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56EF53" w14:textId="77777777" w:rsidR="004D6392" w:rsidRDefault="004D6392" w:rsidP="007A7DDA">
      <w:pPr>
        <w:spacing w:after="0" w:line="240" w:lineRule="auto"/>
      </w:pPr>
      <w:r>
        <w:separator/>
      </w:r>
    </w:p>
  </w:footnote>
  <w:footnote w:type="continuationSeparator" w:id="0">
    <w:p w14:paraId="5AD86C52" w14:textId="77777777" w:rsidR="004D6392" w:rsidRDefault="004D6392" w:rsidP="007A7DDA">
      <w:pPr>
        <w:spacing w:after="0" w:line="240" w:lineRule="auto"/>
      </w:pPr>
      <w:r>
        <w:continuationSeparator/>
      </w:r>
    </w:p>
  </w:footnote>
  <w:footnote w:type="continuationNotice" w:id="1">
    <w:p w14:paraId="6757BA7D" w14:textId="77777777" w:rsidR="004D6392" w:rsidRDefault="004D6392">
      <w:pPr>
        <w:spacing w:after="0" w:line="240" w:lineRule="auto"/>
      </w:pPr>
    </w:p>
  </w:footnote>
  <w:footnote w:id="2">
    <w:p w14:paraId="4680C8F4" w14:textId="1C98AE00" w:rsidR="004D6392" w:rsidRDefault="004D6392">
      <w:pPr>
        <w:pStyle w:val="FootnoteText"/>
      </w:pPr>
      <w:r>
        <w:rPr>
          <w:rStyle w:val="FootnoteReference"/>
        </w:rPr>
        <w:footnoteRef/>
      </w:r>
      <w:r>
        <w:t xml:space="preserve"> </w:t>
      </w:r>
      <w:r w:rsidRPr="005A5E51">
        <w:t>https://eur-lex.europa.eu/legal-content/EN/TXT/PDF/?uri=CELEX:32019R0943&amp;from=ro</w:t>
      </w:r>
    </w:p>
  </w:footnote>
  <w:footnote w:id="3">
    <w:p w14:paraId="7178D834" w14:textId="77455808" w:rsidR="004D6392" w:rsidRDefault="004D6392">
      <w:pPr>
        <w:pStyle w:val="FootnoteText"/>
      </w:pPr>
      <w:r>
        <w:rPr>
          <w:rStyle w:val="FootnoteReference"/>
        </w:rPr>
        <w:footnoteRef/>
      </w:r>
      <w:r>
        <w:t xml:space="preserve"> </w:t>
      </w:r>
      <w:r w:rsidRPr="005A5E51">
        <w:t>https://ec.europa.eu/energy/sites/default/files/methodology_for_the_european_resource_adequacy_assessment.pdf</w:t>
      </w:r>
    </w:p>
  </w:footnote>
  <w:footnote w:id="4">
    <w:p w14:paraId="7D6BE689" w14:textId="0B739FD9" w:rsidR="004D6392" w:rsidRDefault="004D6392">
      <w:pPr>
        <w:pStyle w:val="FootnoteText"/>
      </w:pPr>
      <w:r>
        <w:rPr>
          <w:rStyle w:val="FootnoteReference"/>
        </w:rPr>
        <w:footnoteRef/>
      </w:r>
      <w:r>
        <w:t xml:space="preserve"> </w:t>
      </w:r>
      <w:r w:rsidRPr="004F538B">
        <w:t>https://www.entsoe.eu/outlooks/eraa</w:t>
      </w:r>
    </w:p>
  </w:footnote>
  <w:footnote w:id="5">
    <w:p w14:paraId="09E44122" w14:textId="16E1248E" w:rsidR="004D6392" w:rsidRDefault="004D6392">
      <w:pPr>
        <w:pStyle w:val="FootnoteText"/>
      </w:pPr>
      <w:r>
        <w:rPr>
          <w:rStyle w:val="FootnoteReference"/>
        </w:rPr>
        <w:footnoteRef/>
      </w:r>
      <w:r>
        <w:t xml:space="preserve"> </w:t>
      </w:r>
      <w:r w:rsidRPr="00623DA2">
        <w:t>https://documents.acer.europa.eu/Official_documents/Acts_of_the_Agency/Individual%20decisions%20Annexes/ACER%20Decision%20No%2023-2020_Annexes/ACER%20Decision%2023-2020%20on%20VOLL%20CONE%20RS%20-%20Annex%20I.pdf</w:t>
      </w:r>
    </w:p>
  </w:footnote>
  <w:footnote w:id="6">
    <w:p w14:paraId="20D06341" w14:textId="7A32FEAA" w:rsidR="004D6392" w:rsidRDefault="004D6392">
      <w:pPr>
        <w:pStyle w:val="FootnoteText"/>
      </w:pPr>
      <w:r>
        <w:rPr>
          <w:rStyle w:val="FootnoteReference"/>
        </w:rPr>
        <w:footnoteRef/>
      </w:r>
      <w:r>
        <w:t xml:space="preserve"> </w:t>
      </w:r>
      <w:r w:rsidRPr="004D3E3F">
        <w:t>https://www.konkurentsiamet.ee/sites/default/files/saamata_jaanud_energia_hind_0.pdf</w:t>
      </w:r>
    </w:p>
  </w:footnote>
  <w:footnote w:id="7">
    <w:p w14:paraId="1715A3B7" w14:textId="77777777" w:rsidR="004D6392" w:rsidRDefault="004D6392" w:rsidP="00B5534C">
      <w:pPr>
        <w:pStyle w:val="FootnoteText"/>
      </w:pPr>
      <w:r>
        <w:rPr>
          <w:rStyle w:val="FootnoteReference"/>
        </w:rPr>
        <w:footnoteRef/>
      </w:r>
      <w:r>
        <w:t xml:space="preserve"> </w:t>
      </w:r>
      <w:r w:rsidRPr="00F63E44">
        <w:t>https://elering.ee/varustuskindluse-standardi-uuring</w:t>
      </w:r>
    </w:p>
  </w:footnote>
  <w:footnote w:id="8">
    <w:p w14:paraId="2AB202F8" w14:textId="0F445E73" w:rsidR="004D6392" w:rsidRDefault="004D6392">
      <w:pPr>
        <w:pStyle w:val="FootnoteText"/>
      </w:pPr>
      <w:r>
        <w:rPr>
          <w:rStyle w:val="FootnoteReference"/>
        </w:rPr>
        <w:footnoteRef/>
      </w:r>
      <w:r>
        <w:t xml:space="preserve"> </w:t>
      </w:r>
      <w:r w:rsidRPr="004D3E3F">
        <w:t>https://www.riigiteataja.ee/akt/112052021001</w:t>
      </w:r>
    </w:p>
  </w:footnote>
  <w:footnote w:id="9">
    <w:p w14:paraId="689322E7" w14:textId="57F1EA00" w:rsidR="004D6392" w:rsidRDefault="004D6392">
      <w:pPr>
        <w:pStyle w:val="FootnoteText"/>
      </w:pPr>
      <w:r>
        <w:rPr>
          <w:rStyle w:val="FootnoteReference"/>
        </w:rPr>
        <w:footnoteRef/>
      </w:r>
      <w:r>
        <w:t xml:space="preserve"> </w:t>
      </w:r>
      <w:r w:rsidRPr="00F63E44">
        <w:t>https://elering.ee/varustuskindluse-standardi-uuring</w:t>
      </w:r>
    </w:p>
  </w:footnote>
  <w:footnote w:id="10">
    <w:p w14:paraId="482B4F84" w14:textId="77777777" w:rsidR="004D6392" w:rsidRDefault="004D6392" w:rsidP="00D42238">
      <w:pPr>
        <w:pStyle w:val="FootnoteText"/>
      </w:pPr>
      <w:r>
        <w:rPr>
          <w:rStyle w:val="FootnoteReference"/>
        </w:rPr>
        <w:footnoteRef/>
      </w:r>
      <w:r>
        <w:t xml:space="preserve"> </w:t>
      </w:r>
      <w:r>
        <w:rPr>
          <w:lang w:val="en-GB"/>
        </w:rPr>
        <w:t xml:space="preserve">AFRY Management Consulting uuring, Capacity Remuneration Mechanism for Estonia: </w:t>
      </w:r>
      <w:hyperlink r:id="rId1" w:history="1">
        <w:r w:rsidRPr="00231FC4">
          <w:rPr>
            <w:rStyle w:val="Hyperlink"/>
            <w:lang w:val="en-GB"/>
          </w:rPr>
          <w:t>https://elering.ee/sites/default/files/public/T%26A/Study%20on%20a%20Capacity%20Remuneration%20Mechanism%20for%20Estonia.pdf</w:t>
        </w:r>
      </w:hyperlink>
    </w:p>
  </w:footnote>
  <w:footnote w:id="11">
    <w:p w14:paraId="5BB29272" w14:textId="39FE099A" w:rsidR="004D6392" w:rsidRDefault="004D6392">
      <w:pPr>
        <w:pStyle w:val="FootnoteText"/>
      </w:pPr>
      <w:r>
        <w:rPr>
          <w:rStyle w:val="FootnoteReference"/>
        </w:rPr>
        <w:footnoteRef/>
      </w:r>
      <w:r>
        <w:t xml:space="preserve"> ACER, Opinion no 22/2019 of the European Union Agency for the Cooperation of Energy Regulators</w:t>
      </w:r>
    </w:p>
    <w:p w14:paraId="61C32CDD" w14:textId="721408AC" w:rsidR="004D6392" w:rsidRDefault="004D6392">
      <w:pPr>
        <w:pStyle w:val="FootnoteText"/>
      </w:pPr>
      <w:hyperlink r:id="rId2" w:history="1">
        <w:r w:rsidRPr="001D6E6E">
          <w:rPr>
            <w:rStyle w:val="Hyperlink"/>
          </w:rPr>
          <w:t>http://www.acer.europa.eu/Official_documents/Acts_of_the_Agency/Opinions/Opinions/ACER%20Opinion%2022-2019%20on%20the%20calculation%20values%20of%20CO2%20emission%20limits.pdf</w:t>
        </w:r>
      </w:hyperlink>
      <w:r>
        <w:t xml:space="preserve"> </w:t>
      </w:r>
    </w:p>
    <w:p w14:paraId="3850F666" w14:textId="77777777" w:rsidR="004D6392" w:rsidRDefault="004D6392">
      <w:pPr>
        <w:pStyle w:val="FootnoteText"/>
      </w:pPr>
    </w:p>
  </w:footnote>
  <w:footnote w:id="12">
    <w:p w14:paraId="2DAEE5A9" w14:textId="17DDF38B" w:rsidR="004D6392" w:rsidRDefault="004D6392">
      <w:pPr>
        <w:pStyle w:val="FootnoteText"/>
      </w:pPr>
      <w:r>
        <w:rPr>
          <w:rStyle w:val="FootnoteReference"/>
        </w:rPr>
        <w:footnoteRef/>
      </w:r>
      <w:r>
        <w:t xml:space="preserve"> </w:t>
      </w:r>
      <w:r w:rsidRPr="001937A1">
        <w:t>https://documents.acer.europa.eu/Official_documents/Acts_of_the_Agency/Opinions/Opinions/ACER%20Opinion%2022-2019%20on%20the%20calculation%20values%20of%20CO2%20emission%20limits.pdf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5BAF7" w14:textId="77777777" w:rsidR="004D6392" w:rsidRDefault="004D63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06BC3"/>
    <w:multiLevelType w:val="hybridMultilevel"/>
    <w:tmpl w:val="1AEC586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5607536"/>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D15F4F"/>
    <w:multiLevelType w:val="multilevel"/>
    <w:tmpl w:val="521EC922"/>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28592D"/>
    <w:multiLevelType w:val="hybridMultilevel"/>
    <w:tmpl w:val="60BEEEB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083A3AC9"/>
    <w:multiLevelType w:val="hybridMultilevel"/>
    <w:tmpl w:val="DB108F5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27B24EF"/>
    <w:multiLevelType w:val="hybridMultilevel"/>
    <w:tmpl w:val="5DF4F024"/>
    <w:lvl w:ilvl="0" w:tplc="04250001">
      <w:start w:val="1"/>
      <w:numFmt w:val="bullet"/>
      <w:lvlText w:val=""/>
      <w:lvlJc w:val="left"/>
      <w:pPr>
        <w:ind w:left="767" w:hanging="360"/>
      </w:pPr>
      <w:rPr>
        <w:rFonts w:ascii="Symbol" w:hAnsi="Symbol" w:hint="default"/>
      </w:rPr>
    </w:lvl>
    <w:lvl w:ilvl="1" w:tplc="04250003" w:tentative="1">
      <w:start w:val="1"/>
      <w:numFmt w:val="bullet"/>
      <w:lvlText w:val="o"/>
      <w:lvlJc w:val="left"/>
      <w:pPr>
        <w:ind w:left="1487" w:hanging="360"/>
      </w:pPr>
      <w:rPr>
        <w:rFonts w:ascii="Courier New" w:hAnsi="Courier New" w:cs="Courier New" w:hint="default"/>
      </w:rPr>
    </w:lvl>
    <w:lvl w:ilvl="2" w:tplc="04250005" w:tentative="1">
      <w:start w:val="1"/>
      <w:numFmt w:val="bullet"/>
      <w:lvlText w:val=""/>
      <w:lvlJc w:val="left"/>
      <w:pPr>
        <w:ind w:left="2207" w:hanging="360"/>
      </w:pPr>
      <w:rPr>
        <w:rFonts w:ascii="Wingdings" w:hAnsi="Wingdings" w:hint="default"/>
      </w:rPr>
    </w:lvl>
    <w:lvl w:ilvl="3" w:tplc="04250001" w:tentative="1">
      <w:start w:val="1"/>
      <w:numFmt w:val="bullet"/>
      <w:lvlText w:val=""/>
      <w:lvlJc w:val="left"/>
      <w:pPr>
        <w:ind w:left="2927" w:hanging="360"/>
      </w:pPr>
      <w:rPr>
        <w:rFonts w:ascii="Symbol" w:hAnsi="Symbol" w:hint="default"/>
      </w:rPr>
    </w:lvl>
    <w:lvl w:ilvl="4" w:tplc="04250003" w:tentative="1">
      <w:start w:val="1"/>
      <w:numFmt w:val="bullet"/>
      <w:lvlText w:val="o"/>
      <w:lvlJc w:val="left"/>
      <w:pPr>
        <w:ind w:left="3647" w:hanging="360"/>
      </w:pPr>
      <w:rPr>
        <w:rFonts w:ascii="Courier New" w:hAnsi="Courier New" w:cs="Courier New" w:hint="default"/>
      </w:rPr>
    </w:lvl>
    <w:lvl w:ilvl="5" w:tplc="04250005" w:tentative="1">
      <w:start w:val="1"/>
      <w:numFmt w:val="bullet"/>
      <w:lvlText w:val=""/>
      <w:lvlJc w:val="left"/>
      <w:pPr>
        <w:ind w:left="4367" w:hanging="360"/>
      </w:pPr>
      <w:rPr>
        <w:rFonts w:ascii="Wingdings" w:hAnsi="Wingdings" w:hint="default"/>
      </w:rPr>
    </w:lvl>
    <w:lvl w:ilvl="6" w:tplc="04250001" w:tentative="1">
      <w:start w:val="1"/>
      <w:numFmt w:val="bullet"/>
      <w:lvlText w:val=""/>
      <w:lvlJc w:val="left"/>
      <w:pPr>
        <w:ind w:left="5087" w:hanging="360"/>
      </w:pPr>
      <w:rPr>
        <w:rFonts w:ascii="Symbol" w:hAnsi="Symbol" w:hint="default"/>
      </w:rPr>
    </w:lvl>
    <w:lvl w:ilvl="7" w:tplc="04250003" w:tentative="1">
      <w:start w:val="1"/>
      <w:numFmt w:val="bullet"/>
      <w:lvlText w:val="o"/>
      <w:lvlJc w:val="left"/>
      <w:pPr>
        <w:ind w:left="5807" w:hanging="360"/>
      </w:pPr>
      <w:rPr>
        <w:rFonts w:ascii="Courier New" w:hAnsi="Courier New" w:cs="Courier New" w:hint="default"/>
      </w:rPr>
    </w:lvl>
    <w:lvl w:ilvl="8" w:tplc="04250005" w:tentative="1">
      <w:start w:val="1"/>
      <w:numFmt w:val="bullet"/>
      <w:lvlText w:val=""/>
      <w:lvlJc w:val="left"/>
      <w:pPr>
        <w:ind w:left="6527" w:hanging="360"/>
      </w:pPr>
      <w:rPr>
        <w:rFonts w:ascii="Wingdings" w:hAnsi="Wingdings" w:hint="default"/>
      </w:rPr>
    </w:lvl>
  </w:abstractNum>
  <w:abstractNum w:abstractNumId="6" w15:restartNumberingAfterBreak="0">
    <w:nsid w:val="1A073A62"/>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F9B2811"/>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0E23B02"/>
    <w:multiLevelType w:val="hybridMultilevel"/>
    <w:tmpl w:val="B7CCB3E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22666D88"/>
    <w:multiLevelType w:val="multilevel"/>
    <w:tmpl w:val="0425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 w15:restartNumberingAfterBreak="0">
    <w:nsid w:val="25D517D8"/>
    <w:multiLevelType w:val="hybridMultilevel"/>
    <w:tmpl w:val="E440EBE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2EC02DF3"/>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4CF3712"/>
    <w:multiLevelType w:val="hybridMultilevel"/>
    <w:tmpl w:val="EAD8F82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36FD4518"/>
    <w:multiLevelType w:val="multilevel"/>
    <w:tmpl w:val="C62E7C00"/>
    <w:lvl w:ilvl="0">
      <w:start w:val="3"/>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80B3972"/>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A47064D"/>
    <w:multiLevelType w:val="hybridMultilevel"/>
    <w:tmpl w:val="F02A209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3B0D0F2C"/>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33D4912"/>
    <w:multiLevelType w:val="hybridMultilevel"/>
    <w:tmpl w:val="F342B66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43AB3093"/>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4400FCE"/>
    <w:multiLevelType w:val="hybridMultilevel"/>
    <w:tmpl w:val="1104099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47AB36C5"/>
    <w:multiLevelType w:val="hybridMultilevel"/>
    <w:tmpl w:val="10CA7E7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4C285AC5"/>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D80703F"/>
    <w:multiLevelType w:val="hybridMultilevel"/>
    <w:tmpl w:val="C9101B24"/>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4DD406BE"/>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E2467E0"/>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16A6AEF"/>
    <w:multiLevelType w:val="hybridMultilevel"/>
    <w:tmpl w:val="5018104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665058EA"/>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7284131"/>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90533F9"/>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03750A6"/>
    <w:multiLevelType w:val="hybridMultilevel"/>
    <w:tmpl w:val="802EF82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724F09DA"/>
    <w:multiLevelType w:val="hybridMultilevel"/>
    <w:tmpl w:val="579ED118"/>
    <w:lvl w:ilvl="0" w:tplc="0425000F">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1" w15:restartNumberingAfterBreak="0">
    <w:nsid w:val="769A3842"/>
    <w:multiLevelType w:val="hybridMultilevel"/>
    <w:tmpl w:val="DF2C5FC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76EE5FF2"/>
    <w:multiLevelType w:val="hybridMultilevel"/>
    <w:tmpl w:val="DC0A0A5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7B8B596B"/>
    <w:multiLevelType w:val="hybridMultilevel"/>
    <w:tmpl w:val="5752361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7FB647C1"/>
    <w:multiLevelType w:val="hybridMultilevel"/>
    <w:tmpl w:val="77660E86"/>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20"/>
  </w:num>
  <w:num w:numId="2">
    <w:abstractNumId w:val="1"/>
  </w:num>
  <w:num w:numId="3">
    <w:abstractNumId w:val="1"/>
  </w:num>
  <w:num w:numId="4">
    <w:abstractNumId w:val="31"/>
  </w:num>
  <w:num w:numId="5">
    <w:abstractNumId w:val="1"/>
    <w:lvlOverride w:ilvl="0">
      <w:startOverride w:val="1"/>
    </w:lvlOverride>
  </w:num>
  <w:num w:numId="6">
    <w:abstractNumId w:val="29"/>
  </w:num>
  <w:num w:numId="7">
    <w:abstractNumId w:val="15"/>
  </w:num>
  <w:num w:numId="8">
    <w:abstractNumId w:val="10"/>
  </w:num>
  <w:num w:numId="9">
    <w:abstractNumId w:val="7"/>
  </w:num>
  <w:num w:numId="10">
    <w:abstractNumId w:val="27"/>
  </w:num>
  <w:num w:numId="11">
    <w:abstractNumId w:val="21"/>
  </w:num>
  <w:num w:numId="12">
    <w:abstractNumId w:val="11"/>
  </w:num>
  <w:num w:numId="13">
    <w:abstractNumId w:val="8"/>
  </w:num>
  <w:num w:numId="14">
    <w:abstractNumId w:val="19"/>
  </w:num>
  <w:num w:numId="15">
    <w:abstractNumId w:val="33"/>
  </w:num>
  <w:num w:numId="16">
    <w:abstractNumId w:val="9"/>
  </w:num>
  <w:num w:numId="17">
    <w:abstractNumId w:val="28"/>
  </w:num>
  <w:num w:numId="18">
    <w:abstractNumId w:val="32"/>
  </w:num>
  <w:num w:numId="19">
    <w:abstractNumId w:val="26"/>
  </w:num>
  <w:num w:numId="20">
    <w:abstractNumId w:val="22"/>
  </w:num>
  <w:num w:numId="21">
    <w:abstractNumId w:val="5"/>
  </w:num>
  <w:num w:numId="22">
    <w:abstractNumId w:val="0"/>
  </w:num>
  <w:num w:numId="23">
    <w:abstractNumId w:val="3"/>
  </w:num>
  <w:num w:numId="24">
    <w:abstractNumId w:val="24"/>
  </w:num>
  <w:num w:numId="25">
    <w:abstractNumId w:val="25"/>
  </w:num>
  <w:num w:numId="26">
    <w:abstractNumId w:val="17"/>
  </w:num>
  <w:num w:numId="27">
    <w:abstractNumId w:val="23"/>
  </w:num>
  <w:num w:numId="28">
    <w:abstractNumId w:val="18"/>
  </w:num>
  <w:num w:numId="29">
    <w:abstractNumId w:val="14"/>
  </w:num>
  <w:num w:numId="30">
    <w:abstractNumId w:val="16"/>
  </w:num>
  <w:num w:numId="31">
    <w:abstractNumId w:val="34"/>
  </w:num>
  <w:num w:numId="32">
    <w:abstractNumId w:val="4"/>
  </w:num>
  <w:num w:numId="33">
    <w:abstractNumId w:val="12"/>
  </w:num>
  <w:num w:numId="34">
    <w:abstractNumId w:val="30"/>
  </w:num>
  <w:num w:numId="35">
    <w:abstractNumId w:val="6"/>
  </w:num>
  <w:num w:numId="36">
    <w:abstractNumId w:val="13"/>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728"/>
    <w:rsid w:val="0000334D"/>
    <w:rsid w:val="00007416"/>
    <w:rsid w:val="00011EDE"/>
    <w:rsid w:val="00015770"/>
    <w:rsid w:val="000349BB"/>
    <w:rsid w:val="00036200"/>
    <w:rsid w:val="000449FD"/>
    <w:rsid w:val="00057F0E"/>
    <w:rsid w:val="000618D3"/>
    <w:rsid w:val="00077D14"/>
    <w:rsid w:val="00083E4C"/>
    <w:rsid w:val="00090935"/>
    <w:rsid w:val="000949F7"/>
    <w:rsid w:val="0009734E"/>
    <w:rsid w:val="00097CBA"/>
    <w:rsid w:val="000B46B3"/>
    <w:rsid w:val="000C031F"/>
    <w:rsid w:val="000C2E8E"/>
    <w:rsid w:val="000D5361"/>
    <w:rsid w:val="000F05ED"/>
    <w:rsid w:val="000F0DCB"/>
    <w:rsid w:val="000F5F3A"/>
    <w:rsid w:val="000F64B3"/>
    <w:rsid w:val="00102FBE"/>
    <w:rsid w:val="0010654F"/>
    <w:rsid w:val="001135DC"/>
    <w:rsid w:val="00124486"/>
    <w:rsid w:val="0012694C"/>
    <w:rsid w:val="00126FA9"/>
    <w:rsid w:val="00132773"/>
    <w:rsid w:val="001329CD"/>
    <w:rsid w:val="00135016"/>
    <w:rsid w:val="00142937"/>
    <w:rsid w:val="00151B7F"/>
    <w:rsid w:val="0015243B"/>
    <w:rsid w:val="00154DD2"/>
    <w:rsid w:val="00160E65"/>
    <w:rsid w:val="0016252C"/>
    <w:rsid w:val="001638DD"/>
    <w:rsid w:val="0016514F"/>
    <w:rsid w:val="00170D45"/>
    <w:rsid w:val="0017218B"/>
    <w:rsid w:val="0017234A"/>
    <w:rsid w:val="00176416"/>
    <w:rsid w:val="00177450"/>
    <w:rsid w:val="00177E68"/>
    <w:rsid w:val="00181F88"/>
    <w:rsid w:val="0018689A"/>
    <w:rsid w:val="001937A1"/>
    <w:rsid w:val="001A3A35"/>
    <w:rsid w:val="001A3A67"/>
    <w:rsid w:val="001B12EA"/>
    <w:rsid w:val="001B330E"/>
    <w:rsid w:val="001B5554"/>
    <w:rsid w:val="001C30F8"/>
    <w:rsid w:val="001C39AD"/>
    <w:rsid w:val="001C757E"/>
    <w:rsid w:val="001C75C5"/>
    <w:rsid w:val="001E2479"/>
    <w:rsid w:val="001E273D"/>
    <w:rsid w:val="001F0194"/>
    <w:rsid w:val="001F1971"/>
    <w:rsid w:val="001F37E3"/>
    <w:rsid w:val="001F3DEF"/>
    <w:rsid w:val="001F4E48"/>
    <w:rsid w:val="001F4EBB"/>
    <w:rsid w:val="00200F2F"/>
    <w:rsid w:val="00207215"/>
    <w:rsid w:val="002136C3"/>
    <w:rsid w:val="002211DA"/>
    <w:rsid w:val="00221E2D"/>
    <w:rsid w:val="00225B38"/>
    <w:rsid w:val="00226F13"/>
    <w:rsid w:val="0023269D"/>
    <w:rsid w:val="002429D6"/>
    <w:rsid w:val="0025253F"/>
    <w:rsid w:val="002532DE"/>
    <w:rsid w:val="002558E5"/>
    <w:rsid w:val="00262500"/>
    <w:rsid w:val="002645CA"/>
    <w:rsid w:val="00277E1D"/>
    <w:rsid w:val="00283224"/>
    <w:rsid w:val="00287446"/>
    <w:rsid w:val="002930E4"/>
    <w:rsid w:val="00295B1C"/>
    <w:rsid w:val="00295FDB"/>
    <w:rsid w:val="002B416D"/>
    <w:rsid w:val="002E3476"/>
    <w:rsid w:val="002F3FB8"/>
    <w:rsid w:val="002F5E72"/>
    <w:rsid w:val="0030123F"/>
    <w:rsid w:val="003027F9"/>
    <w:rsid w:val="003037C9"/>
    <w:rsid w:val="00310E98"/>
    <w:rsid w:val="00314F42"/>
    <w:rsid w:val="00315A01"/>
    <w:rsid w:val="00325167"/>
    <w:rsid w:val="00326F31"/>
    <w:rsid w:val="00327091"/>
    <w:rsid w:val="00331CEE"/>
    <w:rsid w:val="00334B7A"/>
    <w:rsid w:val="00334C45"/>
    <w:rsid w:val="0035332B"/>
    <w:rsid w:val="00362E9C"/>
    <w:rsid w:val="00363EDE"/>
    <w:rsid w:val="00371E1C"/>
    <w:rsid w:val="00372685"/>
    <w:rsid w:val="00377B06"/>
    <w:rsid w:val="00380D5C"/>
    <w:rsid w:val="00380F53"/>
    <w:rsid w:val="00383E00"/>
    <w:rsid w:val="00391E21"/>
    <w:rsid w:val="0039350D"/>
    <w:rsid w:val="0039787D"/>
    <w:rsid w:val="003A2BD1"/>
    <w:rsid w:val="003A30CD"/>
    <w:rsid w:val="003A55A6"/>
    <w:rsid w:val="003B047A"/>
    <w:rsid w:val="003B4841"/>
    <w:rsid w:val="003B794C"/>
    <w:rsid w:val="003C0545"/>
    <w:rsid w:val="003C1294"/>
    <w:rsid w:val="003C20AC"/>
    <w:rsid w:val="003C4FD1"/>
    <w:rsid w:val="003D2C2F"/>
    <w:rsid w:val="003D3961"/>
    <w:rsid w:val="003D3D86"/>
    <w:rsid w:val="003D4A33"/>
    <w:rsid w:val="003E69A9"/>
    <w:rsid w:val="003E7B63"/>
    <w:rsid w:val="003F3F43"/>
    <w:rsid w:val="0041000E"/>
    <w:rsid w:val="004109F3"/>
    <w:rsid w:val="004145AF"/>
    <w:rsid w:val="0041522D"/>
    <w:rsid w:val="004211FE"/>
    <w:rsid w:val="00425D01"/>
    <w:rsid w:val="00426C5A"/>
    <w:rsid w:val="00433009"/>
    <w:rsid w:val="00434B9D"/>
    <w:rsid w:val="004449A6"/>
    <w:rsid w:val="00451AAD"/>
    <w:rsid w:val="00460A5C"/>
    <w:rsid w:val="00462832"/>
    <w:rsid w:val="0047684D"/>
    <w:rsid w:val="004975D0"/>
    <w:rsid w:val="004A4302"/>
    <w:rsid w:val="004B1B58"/>
    <w:rsid w:val="004C1098"/>
    <w:rsid w:val="004C3AE7"/>
    <w:rsid w:val="004C45BF"/>
    <w:rsid w:val="004D2570"/>
    <w:rsid w:val="004D3E3F"/>
    <w:rsid w:val="004D6392"/>
    <w:rsid w:val="004E02A2"/>
    <w:rsid w:val="004E598B"/>
    <w:rsid w:val="004F30C8"/>
    <w:rsid w:val="005010D6"/>
    <w:rsid w:val="0051019F"/>
    <w:rsid w:val="00510E06"/>
    <w:rsid w:val="0051377B"/>
    <w:rsid w:val="00517FAF"/>
    <w:rsid w:val="00522C4F"/>
    <w:rsid w:val="00523AEF"/>
    <w:rsid w:val="00523BCD"/>
    <w:rsid w:val="005267EB"/>
    <w:rsid w:val="00526C0C"/>
    <w:rsid w:val="0053362B"/>
    <w:rsid w:val="00536EB7"/>
    <w:rsid w:val="00544630"/>
    <w:rsid w:val="00550116"/>
    <w:rsid w:val="00552B9C"/>
    <w:rsid w:val="00557151"/>
    <w:rsid w:val="005571FB"/>
    <w:rsid w:val="005617FD"/>
    <w:rsid w:val="005671B9"/>
    <w:rsid w:val="0057047F"/>
    <w:rsid w:val="00571098"/>
    <w:rsid w:val="005726D3"/>
    <w:rsid w:val="005726EC"/>
    <w:rsid w:val="00572922"/>
    <w:rsid w:val="00573FBB"/>
    <w:rsid w:val="0059479E"/>
    <w:rsid w:val="005976E0"/>
    <w:rsid w:val="005A1BB3"/>
    <w:rsid w:val="005A6A58"/>
    <w:rsid w:val="005A76AD"/>
    <w:rsid w:val="005B4791"/>
    <w:rsid w:val="005C0AB5"/>
    <w:rsid w:val="005C2E2F"/>
    <w:rsid w:val="005C35A9"/>
    <w:rsid w:val="005C5CB3"/>
    <w:rsid w:val="005C62EE"/>
    <w:rsid w:val="005C6498"/>
    <w:rsid w:val="005D1AD3"/>
    <w:rsid w:val="005E1BD5"/>
    <w:rsid w:val="005E5A37"/>
    <w:rsid w:val="005E7FFB"/>
    <w:rsid w:val="005F708D"/>
    <w:rsid w:val="00602095"/>
    <w:rsid w:val="006025EF"/>
    <w:rsid w:val="00606D95"/>
    <w:rsid w:val="006112A0"/>
    <w:rsid w:val="00612147"/>
    <w:rsid w:val="0061385F"/>
    <w:rsid w:val="00622C79"/>
    <w:rsid w:val="00623DA2"/>
    <w:rsid w:val="00641FCA"/>
    <w:rsid w:val="00646E46"/>
    <w:rsid w:val="00647009"/>
    <w:rsid w:val="00652B2F"/>
    <w:rsid w:val="00652DA0"/>
    <w:rsid w:val="00660D08"/>
    <w:rsid w:val="0067286E"/>
    <w:rsid w:val="00672DBF"/>
    <w:rsid w:val="006741FA"/>
    <w:rsid w:val="00674379"/>
    <w:rsid w:val="00686D89"/>
    <w:rsid w:val="00690887"/>
    <w:rsid w:val="00693EA1"/>
    <w:rsid w:val="0069565B"/>
    <w:rsid w:val="006A0211"/>
    <w:rsid w:val="006A6128"/>
    <w:rsid w:val="006C3ED7"/>
    <w:rsid w:val="006C7491"/>
    <w:rsid w:val="006D2F06"/>
    <w:rsid w:val="006D32C8"/>
    <w:rsid w:val="006E272E"/>
    <w:rsid w:val="006E3EC8"/>
    <w:rsid w:val="006E6C2E"/>
    <w:rsid w:val="00705188"/>
    <w:rsid w:val="00710584"/>
    <w:rsid w:val="00710AD2"/>
    <w:rsid w:val="007209E2"/>
    <w:rsid w:val="007344F2"/>
    <w:rsid w:val="00734918"/>
    <w:rsid w:val="0074031D"/>
    <w:rsid w:val="00744D31"/>
    <w:rsid w:val="00753428"/>
    <w:rsid w:val="0075488E"/>
    <w:rsid w:val="00766728"/>
    <w:rsid w:val="00784513"/>
    <w:rsid w:val="0078689E"/>
    <w:rsid w:val="00791392"/>
    <w:rsid w:val="0079583F"/>
    <w:rsid w:val="00796B84"/>
    <w:rsid w:val="00797860"/>
    <w:rsid w:val="007A7DDA"/>
    <w:rsid w:val="007B7941"/>
    <w:rsid w:val="007C04AA"/>
    <w:rsid w:val="007C4B60"/>
    <w:rsid w:val="007C5BAF"/>
    <w:rsid w:val="007D3E9D"/>
    <w:rsid w:val="007D4C35"/>
    <w:rsid w:val="007D7C50"/>
    <w:rsid w:val="007E0DF9"/>
    <w:rsid w:val="007F3165"/>
    <w:rsid w:val="00801986"/>
    <w:rsid w:val="008057DC"/>
    <w:rsid w:val="00806B2A"/>
    <w:rsid w:val="00810EE4"/>
    <w:rsid w:val="00812FE2"/>
    <w:rsid w:val="00822E5A"/>
    <w:rsid w:val="00823488"/>
    <w:rsid w:val="008421A3"/>
    <w:rsid w:val="0084716C"/>
    <w:rsid w:val="008509CE"/>
    <w:rsid w:val="00853A76"/>
    <w:rsid w:val="0086186C"/>
    <w:rsid w:val="00871F40"/>
    <w:rsid w:val="00872C48"/>
    <w:rsid w:val="00873086"/>
    <w:rsid w:val="00877698"/>
    <w:rsid w:val="00884648"/>
    <w:rsid w:val="00884B99"/>
    <w:rsid w:val="0089286E"/>
    <w:rsid w:val="00893AB9"/>
    <w:rsid w:val="00893D5E"/>
    <w:rsid w:val="00894A95"/>
    <w:rsid w:val="008A276E"/>
    <w:rsid w:val="008A7E76"/>
    <w:rsid w:val="008B12F0"/>
    <w:rsid w:val="008B13B6"/>
    <w:rsid w:val="008B49E1"/>
    <w:rsid w:val="008B5B36"/>
    <w:rsid w:val="008C0829"/>
    <w:rsid w:val="008D3575"/>
    <w:rsid w:val="008D5C22"/>
    <w:rsid w:val="008E3C18"/>
    <w:rsid w:val="008E46DE"/>
    <w:rsid w:val="008E4807"/>
    <w:rsid w:val="008E6F0F"/>
    <w:rsid w:val="008F2152"/>
    <w:rsid w:val="008F38ED"/>
    <w:rsid w:val="008F7EB5"/>
    <w:rsid w:val="009008FF"/>
    <w:rsid w:val="00906745"/>
    <w:rsid w:val="00907D2F"/>
    <w:rsid w:val="00913F51"/>
    <w:rsid w:val="009228F8"/>
    <w:rsid w:val="00923591"/>
    <w:rsid w:val="00931C87"/>
    <w:rsid w:val="00933282"/>
    <w:rsid w:val="00935390"/>
    <w:rsid w:val="00942CA3"/>
    <w:rsid w:val="0094363F"/>
    <w:rsid w:val="00943659"/>
    <w:rsid w:val="00961CF8"/>
    <w:rsid w:val="0096479F"/>
    <w:rsid w:val="00965D5C"/>
    <w:rsid w:val="00971464"/>
    <w:rsid w:val="00982F84"/>
    <w:rsid w:val="0098420E"/>
    <w:rsid w:val="00987F17"/>
    <w:rsid w:val="009907FB"/>
    <w:rsid w:val="009921E4"/>
    <w:rsid w:val="009A2616"/>
    <w:rsid w:val="009A4AC7"/>
    <w:rsid w:val="009A6EE1"/>
    <w:rsid w:val="009A7654"/>
    <w:rsid w:val="009B0733"/>
    <w:rsid w:val="009C2B80"/>
    <w:rsid w:val="009C5425"/>
    <w:rsid w:val="009C63EF"/>
    <w:rsid w:val="009D39F2"/>
    <w:rsid w:val="009E452A"/>
    <w:rsid w:val="009F28C2"/>
    <w:rsid w:val="009F650A"/>
    <w:rsid w:val="009F7679"/>
    <w:rsid w:val="00A04EE0"/>
    <w:rsid w:val="00A074BB"/>
    <w:rsid w:val="00A0779B"/>
    <w:rsid w:val="00A2085C"/>
    <w:rsid w:val="00A33300"/>
    <w:rsid w:val="00A36C42"/>
    <w:rsid w:val="00A4068D"/>
    <w:rsid w:val="00A41CC6"/>
    <w:rsid w:val="00A42E70"/>
    <w:rsid w:val="00A478C4"/>
    <w:rsid w:val="00A5195C"/>
    <w:rsid w:val="00A56812"/>
    <w:rsid w:val="00A60E7D"/>
    <w:rsid w:val="00A71D03"/>
    <w:rsid w:val="00A77E66"/>
    <w:rsid w:val="00A808F8"/>
    <w:rsid w:val="00A81A5F"/>
    <w:rsid w:val="00A82ED6"/>
    <w:rsid w:val="00A90C59"/>
    <w:rsid w:val="00A91B7E"/>
    <w:rsid w:val="00A967D9"/>
    <w:rsid w:val="00A96AFF"/>
    <w:rsid w:val="00AA4028"/>
    <w:rsid w:val="00AA4C11"/>
    <w:rsid w:val="00AA5A90"/>
    <w:rsid w:val="00AA6304"/>
    <w:rsid w:val="00AA6702"/>
    <w:rsid w:val="00AB0466"/>
    <w:rsid w:val="00AB04BB"/>
    <w:rsid w:val="00AC6EA6"/>
    <w:rsid w:val="00AD27C2"/>
    <w:rsid w:val="00AD3226"/>
    <w:rsid w:val="00AD5B70"/>
    <w:rsid w:val="00AD5EF1"/>
    <w:rsid w:val="00AD7005"/>
    <w:rsid w:val="00AE2D20"/>
    <w:rsid w:val="00AF78A3"/>
    <w:rsid w:val="00B0637F"/>
    <w:rsid w:val="00B07B79"/>
    <w:rsid w:val="00B15E6F"/>
    <w:rsid w:val="00B32493"/>
    <w:rsid w:val="00B3289C"/>
    <w:rsid w:val="00B35CC6"/>
    <w:rsid w:val="00B40473"/>
    <w:rsid w:val="00B42CFE"/>
    <w:rsid w:val="00B448B0"/>
    <w:rsid w:val="00B45891"/>
    <w:rsid w:val="00B5534C"/>
    <w:rsid w:val="00B632FD"/>
    <w:rsid w:val="00B73128"/>
    <w:rsid w:val="00B73B11"/>
    <w:rsid w:val="00B757E1"/>
    <w:rsid w:val="00B82341"/>
    <w:rsid w:val="00B90597"/>
    <w:rsid w:val="00B92FDC"/>
    <w:rsid w:val="00B93F75"/>
    <w:rsid w:val="00B970AC"/>
    <w:rsid w:val="00BA2430"/>
    <w:rsid w:val="00BA3369"/>
    <w:rsid w:val="00BA760C"/>
    <w:rsid w:val="00BB1964"/>
    <w:rsid w:val="00BB4766"/>
    <w:rsid w:val="00BB736A"/>
    <w:rsid w:val="00BD2EC6"/>
    <w:rsid w:val="00BD508B"/>
    <w:rsid w:val="00BE4FCB"/>
    <w:rsid w:val="00BF751D"/>
    <w:rsid w:val="00C015FE"/>
    <w:rsid w:val="00C14588"/>
    <w:rsid w:val="00C15ACC"/>
    <w:rsid w:val="00C2118E"/>
    <w:rsid w:val="00C21AB5"/>
    <w:rsid w:val="00C37FAC"/>
    <w:rsid w:val="00C44904"/>
    <w:rsid w:val="00C46975"/>
    <w:rsid w:val="00C514D1"/>
    <w:rsid w:val="00C5739E"/>
    <w:rsid w:val="00C614DB"/>
    <w:rsid w:val="00C72430"/>
    <w:rsid w:val="00C80AD4"/>
    <w:rsid w:val="00C84630"/>
    <w:rsid w:val="00C8478C"/>
    <w:rsid w:val="00C91E99"/>
    <w:rsid w:val="00C96D1D"/>
    <w:rsid w:val="00CB1B5C"/>
    <w:rsid w:val="00CC6B02"/>
    <w:rsid w:val="00CC6B86"/>
    <w:rsid w:val="00CF0066"/>
    <w:rsid w:val="00CF37DF"/>
    <w:rsid w:val="00CF6924"/>
    <w:rsid w:val="00CF7E0B"/>
    <w:rsid w:val="00D02775"/>
    <w:rsid w:val="00D0662B"/>
    <w:rsid w:val="00D06DA0"/>
    <w:rsid w:val="00D06E26"/>
    <w:rsid w:val="00D175D0"/>
    <w:rsid w:val="00D2282C"/>
    <w:rsid w:val="00D31364"/>
    <w:rsid w:val="00D4131B"/>
    <w:rsid w:val="00D42238"/>
    <w:rsid w:val="00D42EFA"/>
    <w:rsid w:val="00D4582C"/>
    <w:rsid w:val="00D52052"/>
    <w:rsid w:val="00D53291"/>
    <w:rsid w:val="00D57A79"/>
    <w:rsid w:val="00D726C4"/>
    <w:rsid w:val="00D737E2"/>
    <w:rsid w:val="00D84C31"/>
    <w:rsid w:val="00D9054F"/>
    <w:rsid w:val="00DA2609"/>
    <w:rsid w:val="00DA722D"/>
    <w:rsid w:val="00DB424D"/>
    <w:rsid w:val="00DC61BC"/>
    <w:rsid w:val="00DD34BA"/>
    <w:rsid w:val="00DD7D93"/>
    <w:rsid w:val="00DF2611"/>
    <w:rsid w:val="00DF4107"/>
    <w:rsid w:val="00DF4C95"/>
    <w:rsid w:val="00DF6668"/>
    <w:rsid w:val="00E043A7"/>
    <w:rsid w:val="00E16361"/>
    <w:rsid w:val="00E2207F"/>
    <w:rsid w:val="00E239BA"/>
    <w:rsid w:val="00E24D9E"/>
    <w:rsid w:val="00E2707D"/>
    <w:rsid w:val="00E35A6B"/>
    <w:rsid w:val="00E36104"/>
    <w:rsid w:val="00E36A66"/>
    <w:rsid w:val="00E474DB"/>
    <w:rsid w:val="00E5247B"/>
    <w:rsid w:val="00E61EB1"/>
    <w:rsid w:val="00E63962"/>
    <w:rsid w:val="00E71F35"/>
    <w:rsid w:val="00EB0E46"/>
    <w:rsid w:val="00EB1600"/>
    <w:rsid w:val="00EB21CF"/>
    <w:rsid w:val="00EB587E"/>
    <w:rsid w:val="00EC4315"/>
    <w:rsid w:val="00EC586D"/>
    <w:rsid w:val="00EC796A"/>
    <w:rsid w:val="00EE16CC"/>
    <w:rsid w:val="00EE7DDF"/>
    <w:rsid w:val="00EF6AB7"/>
    <w:rsid w:val="00F01074"/>
    <w:rsid w:val="00F01581"/>
    <w:rsid w:val="00F02E32"/>
    <w:rsid w:val="00F106D3"/>
    <w:rsid w:val="00F14960"/>
    <w:rsid w:val="00F158AF"/>
    <w:rsid w:val="00F21876"/>
    <w:rsid w:val="00F2330B"/>
    <w:rsid w:val="00F23C26"/>
    <w:rsid w:val="00F24186"/>
    <w:rsid w:val="00F2610D"/>
    <w:rsid w:val="00F30FD3"/>
    <w:rsid w:val="00F34DB1"/>
    <w:rsid w:val="00F35F18"/>
    <w:rsid w:val="00F40219"/>
    <w:rsid w:val="00F43131"/>
    <w:rsid w:val="00F47AEB"/>
    <w:rsid w:val="00F53400"/>
    <w:rsid w:val="00F5545B"/>
    <w:rsid w:val="00F62518"/>
    <w:rsid w:val="00F64648"/>
    <w:rsid w:val="00F65ECD"/>
    <w:rsid w:val="00F729B5"/>
    <w:rsid w:val="00F803EC"/>
    <w:rsid w:val="00F829A3"/>
    <w:rsid w:val="00F85AA7"/>
    <w:rsid w:val="00F871DC"/>
    <w:rsid w:val="00F873F6"/>
    <w:rsid w:val="00F9003D"/>
    <w:rsid w:val="00F90327"/>
    <w:rsid w:val="00F935D6"/>
    <w:rsid w:val="00F9728C"/>
    <w:rsid w:val="00FA0DF8"/>
    <w:rsid w:val="00FA35CA"/>
    <w:rsid w:val="00FB00C7"/>
    <w:rsid w:val="00FC5D05"/>
    <w:rsid w:val="00FE553E"/>
    <w:rsid w:val="00FE64D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3D634"/>
  <w15:chartTrackingRefBased/>
  <w15:docId w15:val="{90391765-4642-4935-857E-F0BF62C2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4486"/>
    <w:pPr>
      <w:keepNext/>
      <w:keepLines/>
      <w:pageBreakBefore/>
      <w:spacing w:before="240" w:after="12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0C031F"/>
    <w:pPr>
      <w:keepNext/>
      <w:keepLines/>
      <w:spacing w:before="40" w:after="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unhideWhenUsed/>
    <w:qFormat/>
    <w:rsid w:val="003D4A33"/>
    <w:pPr>
      <w:keepNext/>
      <w:keepLines/>
      <w:spacing w:before="40" w:after="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9"/>
    <w:unhideWhenUsed/>
    <w:qFormat/>
    <w:rsid w:val="0097146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7146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ERP-List Paragraph,List Paragraph11,Bullet EY,List Paragraph1,List (services),Loetelu (bulletid),Table of contents numbered,Yellow Bullet,Normal bullet 2,Table/Figure Heading,Listeafsnit,Dot pt,No Spacing1,List Paragraph Char Char Char"/>
    <w:basedOn w:val="Normal"/>
    <w:link w:val="ListParagraphChar"/>
    <w:uiPriority w:val="34"/>
    <w:qFormat/>
    <w:rsid w:val="00766728"/>
    <w:pPr>
      <w:ind w:left="720"/>
      <w:contextualSpacing/>
    </w:pPr>
  </w:style>
  <w:style w:type="paragraph" w:styleId="Title">
    <w:name w:val="Title"/>
    <w:basedOn w:val="Normal"/>
    <w:next w:val="Normal"/>
    <w:link w:val="TitleChar"/>
    <w:uiPriority w:val="10"/>
    <w:qFormat/>
    <w:rsid w:val="00B3249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2493"/>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24486"/>
    <w:rPr>
      <w:rFonts w:asciiTheme="majorHAnsi" w:eastAsiaTheme="majorEastAsia" w:hAnsiTheme="majorHAnsi" w:cstheme="majorBidi"/>
      <w:sz w:val="32"/>
      <w:szCs w:val="32"/>
    </w:rPr>
  </w:style>
  <w:style w:type="character" w:customStyle="1" w:styleId="Heading2Char">
    <w:name w:val="Heading 2 Char"/>
    <w:basedOn w:val="DefaultParagraphFont"/>
    <w:link w:val="Heading2"/>
    <w:uiPriority w:val="9"/>
    <w:rsid w:val="000C031F"/>
    <w:rPr>
      <w:rFonts w:asciiTheme="majorHAnsi" w:eastAsiaTheme="majorEastAsia" w:hAnsiTheme="majorHAnsi" w:cstheme="majorBidi"/>
      <w:sz w:val="26"/>
      <w:szCs w:val="26"/>
    </w:rPr>
  </w:style>
  <w:style w:type="table" w:styleId="TableGrid">
    <w:name w:val="Table Grid"/>
    <w:basedOn w:val="TableNormal"/>
    <w:uiPriority w:val="39"/>
    <w:rsid w:val="009D39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2430"/>
    <w:rPr>
      <w:color w:val="0563C1" w:themeColor="hyperlink"/>
      <w:u w:val="single"/>
    </w:rPr>
  </w:style>
  <w:style w:type="character" w:styleId="UnresolvedMention">
    <w:name w:val="Unresolved Mention"/>
    <w:basedOn w:val="DefaultParagraphFont"/>
    <w:uiPriority w:val="99"/>
    <w:semiHidden/>
    <w:unhideWhenUsed/>
    <w:rsid w:val="00C72430"/>
    <w:rPr>
      <w:color w:val="605E5C"/>
      <w:shd w:val="clear" w:color="auto" w:fill="E1DFDD"/>
    </w:rPr>
  </w:style>
  <w:style w:type="paragraph" w:styleId="BalloonText">
    <w:name w:val="Balloon Text"/>
    <w:basedOn w:val="Normal"/>
    <w:link w:val="BalloonTextChar"/>
    <w:uiPriority w:val="99"/>
    <w:semiHidden/>
    <w:unhideWhenUsed/>
    <w:rsid w:val="005A1B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1BB3"/>
    <w:rPr>
      <w:rFonts w:ascii="Segoe UI" w:hAnsi="Segoe UI" w:cs="Segoe UI"/>
      <w:sz w:val="18"/>
      <w:szCs w:val="18"/>
    </w:rPr>
  </w:style>
  <w:style w:type="paragraph" w:styleId="Caption">
    <w:name w:val="caption"/>
    <w:basedOn w:val="Normal"/>
    <w:next w:val="Normal"/>
    <w:uiPriority w:val="35"/>
    <w:unhideWhenUsed/>
    <w:qFormat/>
    <w:rsid w:val="000C031F"/>
    <w:pPr>
      <w:spacing w:after="200" w:line="240" w:lineRule="auto"/>
    </w:pPr>
    <w:rPr>
      <w:i/>
      <w:iCs/>
      <w:sz w:val="18"/>
      <w:szCs w:val="18"/>
    </w:rPr>
  </w:style>
  <w:style w:type="character" w:styleId="FollowedHyperlink">
    <w:name w:val="FollowedHyperlink"/>
    <w:basedOn w:val="DefaultParagraphFont"/>
    <w:uiPriority w:val="99"/>
    <w:semiHidden/>
    <w:unhideWhenUsed/>
    <w:rsid w:val="00135016"/>
    <w:rPr>
      <w:color w:val="954F72" w:themeColor="followedHyperlink"/>
      <w:u w:val="single"/>
    </w:rPr>
  </w:style>
  <w:style w:type="character" w:styleId="CommentReference">
    <w:name w:val="annotation reference"/>
    <w:basedOn w:val="DefaultParagraphFont"/>
    <w:uiPriority w:val="99"/>
    <w:unhideWhenUsed/>
    <w:rsid w:val="00A33300"/>
    <w:rPr>
      <w:sz w:val="16"/>
      <w:szCs w:val="16"/>
    </w:rPr>
  </w:style>
  <w:style w:type="paragraph" w:styleId="CommentText">
    <w:name w:val="annotation text"/>
    <w:basedOn w:val="Normal"/>
    <w:link w:val="CommentTextChar"/>
    <w:uiPriority w:val="99"/>
    <w:unhideWhenUsed/>
    <w:rsid w:val="00A33300"/>
    <w:pPr>
      <w:spacing w:line="240" w:lineRule="auto"/>
    </w:pPr>
    <w:rPr>
      <w:sz w:val="20"/>
      <w:szCs w:val="20"/>
    </w:rPr>
  </w:style>
  <w:style w:type="character" w:customStyle="1" w:styleId="CommentTextChar">
    <w:name w:val="Comment Text Char"/>
    <w:basedOn w:val="DefaultParagraphFont"/>
    <w:link w:val="CommentText"/>
    <w:uiPriority w:val="99"/>
    <w:rsid w:val="00A33300"/>
    <w:rPr>
      <w:sz w:val="20"/>
      <w:szCs w:val="20"/>
    </w:rPr>
  </w:style>
  <w:style w:type="paragraph" w:styleId="CommentSubject">
    <w:name w:val="annotation subject"/>
    <w:basedOn w:val="CommentText"/>
    <w:next w:val="CommentText"/>
    <w:link w:val="CommentSubjectChar"/>
    <w:uiPriority w:val="99"/>
    <w:semiHidden/>
    <w:unhideWhenUsed/>
    <w:rsid w:val="00A33300"/>
    <w:rPr>
      <w:b/>
      <w:bCs/>
    </w:rPr>
  </w:style>
  <w:style w:type="character" w:customStyle="1" w:styleId="CommentSubjectChar">
    <w:name w:val="Comment Subject Char"/>
    <w:basedOn w:val="CommentTextChar"/>
    <w:link w:val="CommentSubject"/>
    <w:uiPriority w:val="99"/>
    <w:semiHidden/>
    <w:rsid w:val="00A33300"/>
    <w:rPr>
      <w:b/>
      <w:bCs/>
      <w:sz w:val="20"/>
      <w:szCs w:val="20"/>
    </w:rPr>
  </w:style>
  <w:style w:type="character" w:customStyle="1" w:styleId="Heading3Char">
    <w:name w:val="Heading 3 Char"/>
    <w:basedOn w:val="DefaultParagraphFont"/>
    <w:link w:val="Heading3"/>
    <w:uiPriority w:val="9"/>
    <w:rsid w:val="003D4A33"/>
    <w:rPr>
      <w:rFonts w:asciiTheme="majorHAnsi" w:eastAsiaTheme="majorEastAsia" w:hAnsiTheme="majorHAnsi" w:cstheme="majorBidi"/>
      <w:sz w:val="24"/>
      <w:szCs w:val="24"/>
    </w:rPr>
  </w:style>
  <w:style w:type="paragraph" w:styleId="TOCHeading">
    <w:name w:val="TOC Heading"/>
    <w:basedOn w:val="Heading1"/>
    <w:next w:val="Normal"/>
    <w:uiPriority w:val="39"/>
    <w:unhideWhenUsed/>
    <w:qFormat/>
    <w:rsid w:val="002F5E72"/>
    <w:pPr>
      <w:outlineLvl w:val="9"/>
    </w:pPr>
    <w:rPr>
      <w:color w:val="2F5496" w:themeColor="accent1" w:themeShade="BF"/>
      <w:lang w:val="en-US"/>
    </w:rPr>
  </w:style>
  <w:style w:type="paragraph" w:styleId="TOC1">
    <w:name w:val="toc 1"/>
    <w:basedOn w:val="Normal"/>
    <w:next w:val="Normal"/>
    <w:autoRedefine/>
    <w:uiPriority w:val="39"/>
    <w:unhideWhenUsed/>
    <w:rsid w:val="002F5E72"/>
    <w:pPr>
      <w:spacing w:after="100"/>
    </w:pPr>
  </w:style>
  <w:style w:type="paragraph" w:styleId="TOC2">
    <w:name w:val="toc 2"/>
    <w:basedOn w:val="Normal"/>
    <w:next w:val="Normal"/>
    <w:autoRedefine/>
    <w:uiPriority w:val="39"/>
    <w:unhideWhenUsed/>
    <w:rsid w:val="002F5E72"/>
    <w:pPr>
      <w:spacing w:after="100"/>
      <w:ind w:left="220"/>
    </w:pPr>
  </w:style>
  <w:style w:type="paragraph" w:styleId="TOC3">
    <w:name w:val="toc 3"/>
    <w:basedOn w:val="Normal"/>
    <w:next w:val="Normal"/>
    <w:autoRedefine/>
    <w:uiPriority w:val="39"/>
    <w:unhideWhenUsed/>
    <w:rsid w:val="002F5E72"/>
    <w:pPr>
      <w:spacing w:after="100"/>
      <w:ind w:left="440"/>
    </w:pPr>
  </w:style>
  <w:style w:type="paragraph" w:customStyle="1" w:styleId="Default">
    <w:name w:val="Default"/>
    <w:rsid w:val="007E0DF9"/>
    <w:pPr>
      <w:autoSpaceDE w:val="0"/>
      <w:autoSpaceDN w:val="0"/>
      <w:adjustRightInd w:val="0"/>
      <w:spacing w:after="0" w:line="240" w:lineRule="auto"/>
    </w:pPr>
    <w:rPr>
      <w:rFonts w:ascii="EUAlbertina" w:hAnsi="EUAlbertina" w:cs="EUAlbertina"/>
      <w:color w:val="000000"/>
      <w:sz w:val="24"/>
      <w:szCs w:val="24"/>
    </w:rPr>
  </w:style>
  <w:style w:type="paragraph" w:styleId="NormalWeb">
    <w:name w:val="Normal (Web)"/>
    <w:basedOn w:val="Normal"/>
    <w:uiPriority w:val="99"/>
    <w:semiHidden/>
    <w:unhideWhenUsed/>
    <w:rsid w:val="00FE64DE"/>
    <w:pPr>
      <w:spacing w:before="100" w:beforeAutospacing="1" w:after="100" w:afterAutospacing="1" w:line="240" w:lineRule="auto"/>
    </w:pPr>
    <w:rPr>
      <w:rFonts w:ascii="Times New Roman" w:eastAsia="Times New Roman" w:hAnsi="Times New Roman" w:cs="Times New Roman"/>
      <w:sz w:val="24"/>
      <w:szCs w:val="24"/>
      <w:lang w:eastAsia="et-EE"/>
    </w:rPr>
  </w:style>
  <w:style w:type="paragraph" w:styleId="FootnoteText">
    <w:name w:val="footnote text"/>
    <w:basedOn w:val="Normal"/>
    <w:link w:val="FootnoteTextChar"/>
    <w:uiPriority w:val="99"/>
    <w:semiHidden/>
    <w:unhideWhenUsed/>
    <w:rsid w:val="007A7DD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A7DDA"/>
    <w:rPr>
      <w:sz w:val="20"/>
      <w:szCs w:val="20"/>
    </w:rPr>
  </w:style>
  <w:style w:type="character" w:styleId="FootnoteReference">
    <w:name w:val="footnote reference"/>
    <w:basedOn w:val="DefaultParagraphFont"/>
    <w:uiPriority w:val="99"/>
    <w:semiHidden/>
    <w:unhideWhenUsed/>
    <w:rsid w:val="007A7DDA"/>
    <w:rPr>
      <w:vertAlign w:val="superscript"/>
    </w:rPr>
  </w:style>
  <w:style w:type="paragraph" w:styleId="EndnoteText">
    <w:name w:val="endnote text"/>
    <w:basedOn w:val="Normal"/>
    <w:link w:val="EndnoteTextChar"/>
    <w:uiPriority w:val="99"/>
    <w:semiHidden/>
    <w:unhideWhenUsed/>
    <w:rsid w:val="008A7E7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A7E76"/>
    <w:rPr>
      <w:sz w:val="20"/>
      <w:szCs w:val="20"/>
    </w:rPr>
  </w:style>
  <w:style w:type="character" w:styleId="EndnoteReference">
    <w:name w:val="endnote reference"/>
    <w:basedOn w:val="DefaultParagraphFont"/>
    <w:uiPriority w:val="99"/>
    <w:semiHidden/>
    <w:unhideWhenUsed/>
    <w:rsid w:val="008A7E76"/>
    <w:rPr>
      <w:vertAlign w:val="superscript"/>
    </w:rPr>
  </w:style>
  <w:style w:type="paragraph" w:styleId="Revision">
    <w:name w:val="Revision"/>
    <w:hidden/>
    <w:uiPriority w:val="99"/>
    <w:semiHidden/>
    <w:rsid w:val="00BD2EC6"/>
    <w:pPr>
      <w:spacing w:after="0" w:line="240" w:lineRule="auto"/>
    </w:pPr>
  </w:style>
  <w:style w:type="character" w:customStyle="1" w:styleId="Heading4Char">
    <w:name w:val="Heading 4 Char"/>
    <w:basedOn w:val="DefaultParagraphFont"/>
    <w:link w:val="Heading4"/>
    <w:uiPriority w:val="9"/>
    <w:rsid w:val="0097146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971464"/>
    <w:rPr>
      <w:rFonts w:asciiTheme="majorHAnsi" w:eastAsiaTheme="majorEastAsia" w:hAnsiTheme="majorHAnsi" w:cstheme="majorBidi"/>
      <w:color w:val="2F5496" w:themeColor="accent1" w:themeShade="BF"/>
    </w:rPr>
  </w:style>
  <w:style w:type="table" w:styleId="GridTable4-Accent5">
    <w:name w:val="Grid Table 4 Accent 5"/>
    <w:basedOn w:val="TableNormal"/>
    <w:uiPriority w:val="49"/>
    <w:rsid w:val="00672DB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PlaceholderText">
    <w:name w:val="Placeholder Text"/>
    <w:basedOn w:val="DefaultParagraphFont"/>
    <w:uiPriority w:val="99"/>
    <w:semiHidden/>
    <w:rsid w:val="00672DBF"/>
    <w:rPr>
      <w:color w:val="808080"/>
    </w:rPr>
  </w:style>
  <w:style w:type="character" w:customStyle="1" w:styleId="ListParagraphChar">
    <w:name w:val="List Paragraph Char"/>
    <w:aliases w:val="ERP-List Paragraph Char,List Paragraph11 Char,Bullet EY Char,List Paragraph1 Char,List (services) Char,Loetelu (bulletid) Char,Table of contents numbered Char,Yellow Bullet Char,Normal bullet 2 Char,Table/Figure Heading Char"/>
    <w:basedOn w:val="DefaultParagraphFont"/>
    <w:link w:val="ListParagraph"/>
    <w:uiPriority w:val="34"/>
    <w:qFormat/>
    <w:locked/>
    <w:rsid w:val="003D2C2F"/>
  </w:style>
  <w:style w:type="character" w:styleId="Strong">
    <w:name w:val="Strong"/>
    <w:basedOn w:val="DefaultParagraphFont"/>
    <w:uiPriority w:val="22"/>
    <w:qFormat/>
    <w:rsid w:val="00327091"/>
    <w:rPr>
      <w:b/>
      <w:bCs/>
    </w:rPr>
  </w:style>
  <w:style w:type="paragraph" w:styleId="Header">
    <w:name w:val="header"/>
    <w:basedOn w:val="Normal"/>
    <w:link w:val="HeaderChar"/>
    <w:uiPriority w:val="99"/>
    <w:unhideWhenUsed/>
    <w:rsid w:val="007209E2"/>
    <w:pPr>
      <w:tabs>
        <w:tab w:val="center" w:pos="4536"/>
        <w:tab w:val="right" w:pos="9072"/>
      </w:tabs>
      <w:spacing w:after="0" w:line="240" w:lineRule="auto"/>
    </w:pPr>
  </w:style>
  <w:style w:type="character" w:customStyle="1" w:styleId="HeaderChar">
    <w:name w:val="Header Char"/>
    <w:basedOn w:val="DefaultParagraphFont"/>
    <w:link w:val="Header"/>
    <w:uiPriority w:val="99"/>
    <w:rsid w:val="007209E2"/>
  </w:style>
  <w:style w:type="paragraph" w:styleId="Footer">
    <w:name w:val="footer"/>
    <w:basedOn w:val="Normal"/>
    <w:link w:val="FooterChar"/>
    <w:uiPriority w:val="99"/>
    <w:unhideWhenUsed/>
    <w:rsid w:val="007209E2"/>
    <w:pPr>
      <w:tabs>
        <w:tab w:val="center" w:pos="4536"/>
        <w:tab w:val="right" w:pos="9072"/>
      </w:tabs>
      <w:spacing w:after="0" w:line="240" w:lineRule="auto"/>
    </w:pPr>
  </w:style>
  <w:style w:type="character" w:customStyle="1" w:styleId="FooterChar">
    <w:name w:val="Footer Char"/>
    <w:basedOn w:val="DefaultParagraphFont"/>
    <w:link w:val="Footer"/>
    <w:uiPriority w:val="99"/>
    <w:rsid w:val="00720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043869">
      <w:bodyDiv w:val="1"/>
      <w:marLeft w:val="0"/>
      <w:marRight w:val="0"/>
      <w:marTop w:val="0"/>
      <w:marBottom w:val="0"/>
      <w:divBdr>
        <w:top w:val="none" w:sz="0" w:space="0" w:color="auto"/>
        <w:left w:val="none" w:sz="0" w:space="0" w:color="auto"/>
        <w:bottom w:val="none" w:sz="0" w:space="0" w:color="auto"/>
        <w:right w:val="none" w:sz="0" w:space="0" w:color="auto"/>
      </w:divBdr>
    </w:div>
    <w:div w:id="143161905">
      <w:bodyDiv w:val="1"/>
      <w:marLeft w:val="0"/>
      <w:marRight w:val="0"/>
      <w:marTop w:val="0"/>
      <w:marBottom w:val="0"/>
      <w:divBdr>
        <w:top w:val="none" w:sz="0" w:space="0" w:color="auto"/>
        <w:left w:val="none" w:sz="0" w:space="0" w:color="auto"/>
        <w:bottom w:val="none" w:sz="0" w:space="0" w:color="auto"/>
        <w:right w:val="none" w:sz="0" w:space="0" w:color="auto"/>
      </w:divBdr>
    </w:div>
    <w:div w:id="221139926">
      <w:bodyDiv w:val="1"/>
      <w:marLeft w:val="0"/>
      <w:marRight w:val="0"/>
      <w:marTop w:val="0"/>
      <w:marBottom w:val="0"/>
      <w:divBdr>
        <w:top w:val="none" w:sz="0" w:space="0" w:color="auto"/>
        <w:left w:val="none" w:sz="0" w:space="0" w:color="auto"/>
        <w:bottom w:val="none" w:sz="0" w:space="0" w:color="auto"/>
        <w:right w:val="none" w:sz="0" w:space="0" w:color="auto"/>
      </w:divBdr>
      <w:divsChild>
        <w:div w:id="1572539750">
          <w:marLeft w:val="547"/>
          <w:marRight w:val="0"/>
          <w:marTop w:val="0"/>
          <w:marBottom w:val="0"/>
          <w:divBdr>
            <w:top w:val="none" w:sz="0" w:space="0" w:color="auto"/>
            <w:left w:val="none" w:sz="0" w:space="0" w:color="auto"/>
            <w:bottom w:val="none" w:sz="0" w:space="0" w:color="auto"/>
            <w:right w:val="none" w:sz="0" w:space="0" w:color="auto"/>
          </w:divBdr>
        </w:div>
      </w:divsChild>
    </w:div>
    <w:div w:id="254945624">
      <w:bodyDiv w:val="1"/>
      <w:marLeft w:val="0"/>
      <w:marRight w:val="0"/>
      <w:marTop w:val="0"/>
      <w:marBottom w:val="0"/>
      <w:divBdr>
        <w:top w:val="none" w:sz="0" w:space="0" w:color="auto"/>
        <w:left w:val="none" w:sz="0" w:space="0" w:color="auto"/>
        <w:bottom w:val="none" w:sz="0" w:space="0" w:color="auto"/>
        <w:right w:val="none" w:sz="0" w:space="0" w:color="auto"/>
      </w:divBdr>
    </w:div>
    <w:div w:id="344477942">
      <w:bodyDiv w:val="1"/>
      <w:marLeft w:val="0"/>
      <w:marRight w:val="0"/>
      <w:marTop w:val="0"/>
      <w:marBottom w:val="0"/>
      <w:divBdr>
        <w:top w:val="none" w:sz="0" w:space="0" w:color="auto"/>
        <w:left w:val="none" w:sz="0" w:space="0" w:color="auto"/>
        <w:bottom w:val="none" w:sz="0" w:space="0" w:color="auto"/>
        <w:right w:val="none" w:sz="0" w:space="0" w:color="auto"/>
      </w:divBdr>
    </w:div>
    <w:div w:id="383069536">
      <w:bodyDiv w:val="1"/>
      <w:marLeft w:val="0"/>
      <w:marRight w:val="0"/>
      <w:marTop w:val="0"/>
      <w:marBottom w:val="0"/>
      <w:divBdr>
        <w:top w:val="none" w:sz="0" w:space="0" w:color="auto"/>
        <w:left w:val="none" w:sz="0" w:space="0" w:color="auto"/>
        <w:bottom w:val="none" w:sz="0" w:space="0" w:color="auto"/>
        <w:right w:val="none" w:sz="0" w:space="0" w:color="auto"/>
      </w:divBdr>
    </w:div>
    <w:div w:id="781001286">
      <w:bodyDiv w:val="1"/>
      <w:marLeft w:val="0"/>
      <w:marRight w:val="0"/>
      <w:marTop w:val="0"/>
      <w:marBottom w:val="0"/>
      <w:divBdr>
        <w:top w:val="none" w:sz="0" w:space="0" w:color="auto"/>
        <w:left w:val="none" w:sz="0" w:space="0" w:color="auto"/>
        <w:bottom w:val="none" w:sz="0" w:space="0" w:color="auto"/>
        <w:right w:val="none" w:sz="0" w:space="0" w:color="auto"/>
      </w:divBdr>
    </w:div>
    <w:div w:id="850028432">
      <w:bodyDiv w:val="1"/>
      <w:marLeft w:val="0"/>
      <w:marRight w:val="0"/>
      <w:marTop w:val="0"/>
      <w:marBottom w:val="0"/>
      <w:divBdr>
        <w:top w:val="none" w:sz="0" w:space="0" w:color="auto"/>
        <w:left w:val="none" w:sz="0" w:space="0" w:color="auto"/>
        <w:bottom w:val="none" w:sz="0" w:space="0" w:color="auto"/>
        <w:right w:val="none" w:sz="0" w:space="0" w:color="auto"/>
      </w:divBdr>
      <w:divsChild>
        <w:div w:id="259418054">
          <w:marLeft w:val="547"/>
          <w:marRight w:val="0"/>
          <w:marTop w:val="0"/>
          <w:marBottom w:val="0"/>
          <w:divBdr>
            <w:top w:val="none" w:sz="0" w:space="0" w:color="auto"/>
            <w:left w:val="none" w:sz="0" w:space="0" w:color="auto"/>
            <w:bottom w:val="none" w:sz="0" w:space="0" w:color="auto"/>
            <w:right w:val="none" w:sz="0" w:space="0" w:color="auto"/>
          </w:divBdr>
        </w:div>
      </w:divsChild>
    </w:div>
    <w:div w:id="876889407">
      <w:bodyDiv w:val="1"/>
      <w:marLeft w:val="0"/>
      <w:marRight w:val="0"/>
      <w:marTop w:val="0"/>
      <w:marBottom w:val="0"/>
      <w:divBdr>
        <w:top w:val="none" w:sz="0" w:space="0" w:color="auto"/>
        <w:left w:val="none" w:sz="0" w:space="0" w:color="auto"/>
        <w:bottom w:val="none" w:sz="0" w:space="0" w:color="auto"/>
        <w:right w:val="none" w:sz="0" w:space="0" w:color="auto"/>
      </w:divBdr>
    </w:div>
    <w:div w:id="1042481371">
      <w:bodyDiv w:val="1"/>
      <w:marLeft w:val="0"/>
      <w:marRight w:val="0"/>
      <w:marTop w:val="0"/>
      <w:marBottom w:val="0"/>
      <w:divBdr>
        <w:top w:val="none" w:sz="0" w:space="0" w:color="auto"/>
        <w:left w:val="none" w:sz="0" w:space="0" w:color="auto"/>
        <w:bottom w:val="none" w:sz="0" w:space="0" w:color="auto"/>
        <w:right w:val="none" w:sz="0" w:space="0" w:color="auto"/>
      </w:divBdr>
    </w:div>
    <w:div w:id="1089932358">
      <w:bodyDiv w:val="1"/>
      <w:marLeft w:val="0"/>
      <w:marRight w:val="0"/>
      <w:marTop w:val="0"/>
      <w:marBottom w:val="0"/>
      <w:divBdr>
        <w:top w:val="none" w:sz="0" w:space="0" w:color="auto"/>
        <w:left w:val="none" w:sz="0" w:space="0" w:color="auto"/>
        <w:bottom w:val="none" w:sz="0" w:space="0" w:color="auto"/>
        <w:right w:val="none" w:sz="0" w:space="0" w:color="auto"/>
      </w:divBdr>
    </w:div>
    <w:div w:id="1306348261">
      <w:bodyDiv w:val="1"/>
      <w:marLeft w:val="0"/>
      <w:marRight w:val="0"/>
      <w:marTop w:val="0"/>
      <w:marBottom w:val="0"/>
      <w:divBdr>
        <w:top w:val="none" w:sz="0" w:space="0" w:color="auto"/>
        <w:left w:val="none" w:sz="0" w:space="0" w:color="auto"/>
        <w:bottom w:val="none" w:sz="0" w:space="0" w:color="auto"/>
        <w:right w:val="none" w:sz="0" w:space="0" w:color="auto"/>
      </w:divBdr>
    </w:div>
    <w:div w:id="1548251850">
      <w:bodyDiv w:val="1"/>
      <w:marLeft w:val="0"/>
      <w:marRight w:val="0"/>
      <w:marTop w:val="0"/>
      <w:marBottom w:val="0"/>
      <w:divBdr>
        <w:top w:val="none" w:sz="0" w:space="0" w:color="auto"/>
        <w:left w:val="none" w:sz="0" w:space="0" w:color="auto"/>
        <w:bottom w:val="none" w:sz="0" w:space="0" w:color="auto"/>
        <w:right w:val="none" w:sz="0" w:space="0" w:color="auto"/>
      </w:divBdr>
    </w:div>
    <w:div w:id="1628318775">
      <w:bodyDiv w:val="1"/>
      <w:marLeft w:val="0"/>
      <w:marRight w:val="0"/>
      <w:marTop w:val="0"/>
      <w:marBottom w:val="0"/>
      <w:divBdr>
        <w:top w:val="none" w:sz="0" w:space="0" w:color="auto"/>
        <w:left w:val="none" w:sz="0" w:space="0" w:color="auto"/>
        <w:bottom w:val="none" w:sz="0" w:space="0" w:color="auto"/>
        <w:right w:val="none" w:sz="0" w:space="0" w:color="auto"/>
      </w:divBdr>
    </w:div>
    <w:div w:id="1812865966">
      <w:bodyDiv w:val="1"/>
      <w:marLeft w:val="0"/>
      <w:marRight w:val="0"/>
      <w:marTop w:val="0"/>
      <w:marBottom w:val="0"/>
      <w:divBdr>
        <w:top w:val="none" w:sz="0" w:space="0" w:color="auto"/>
        <w:left w:val="none" w:sz="0" w:space="0" w:color="auto"/>
        <w:bottom w:val="none" w:sz="0" w:space="0" w:color="auto"/>
        <w:right w:val="none" w:sz="0" w:space="0" w:color="auto"/>
      </w:divBdr>
    </w:div>
    <w:div w:id="1920559010">
      <w:bodyDiv w:val="1"/>
      <w:marLeft w:val="0"/>
      <w:marRight w:val="0"/>
      <w:marTop w:val="0"/>
      <w:marBottom w:val="0"/>
      <w:divBdr>
        <w:top w:val="none" w:sz="0" w:space="0" w:color="auto"/>
        <w:left w:val="none" w:sz="0" w:space="0" w:color="auto"/>
        <w:bottom w:val="none" w:sz="0" w:space="0" w:color="auto"/>
        <w:right w:val="none" w:sz="0" w:space="0" w:color="auto"/>
      </w:divBdr>
    </w:div>
    <w:div w:id="1977485709">
      <w:bodyDiv w:val="1"/>
      <w:marLeft w:val="0"/>
      <w:marRight w:val="0"/>
      <w:marTop w:val="0"/>
      <w:marBottom w:val="0"/>
      <w:divBdr>
        <w:top w:val="none" w:sz="0" w:space="0" w:color="auto"/>
        <w:left w:val="none" w:sz="0" w:space="0" w:color="auto"/>
        <w:bottom w:val="none" w:sz="0" w:space="0" w:color="auto"/>
        <w:right w:val="none" w:sz="0" w:space="0" w:color="auto"/>
      </w:divBdr>
    </w:div>
    <w:div w:id="2032561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theme" Target="theme/theme1.xml"/><Relationship Id="rId10" Type="http://schemas.openxmlformats.org/officeDocument/2006/relationships/image" Target="media/image3.sv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acer.europa.eu/Official_documents/Acts_of_the_Agency/Opinions/Opinions/ACER%20Opinion%2022-2019%20on%20the%20calculation%20values%20of%20CO2%20emission%20limits.pdf" TargetMode="External"/><Relationship Id="rId1" Type="http://schemas.openxmlformats.org/officeDocument/2006/relationships/hyperlink" Target="https://elering.ee/sites/default/files/public/T%26A/Study%20on%20a%20Capacity%20Remuneration%20Mechanism%20for%20Estonia.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none"/>
          </c:marker>
          <c:xVal>
            <c:numRef>
              <c:f>'Benefit loss calculation'!$G$9:$G$62</c:f>
              <c:numCache>
                <c:formatCode>0.0</c:formatCode>
                <c:ptCount val="54"/>
                <c:pt idx="0">
                  <c:v>39.043704558823521</c:v>
                </c:pt>
                <c:pt idx="1">
                  <c:v>37.003263477941168</c:v>
                </c:pt>
                <c:pt idx="2">
                  <c:v>34.553460963235295</c:v>
                </c:pt>
                <c:pt idx="3">
                  <c:v>32.496241735294113</c:v>
                </c:pt>
                <c:pt idx="4">
                  <c:v>30.413351161764709</c:v>
                </c:pt>
                <c:pt idx="5">
                  <c:v>28.497354154411759</c:v>
                </c:pt>
                <c:pt idx="6">
                  <c:v>26.821216242647054</c:v>
                </c:pt>
                <c:pt idx="7">
                  <c:v>25.000298617647058</c:v>
                </c:pt>
                <c:pt idx="8">
                  <c:v>23.506542933823525</c:v>
                </c:pt>
                <c:pt idx="9">
                  <c:v>21.823360529411765</c:v>
                </c:pt>
                <c:pt idx="10">
                  <c:v>20.147721073529418</c:v>
                </c:pt>
                <c:pt idx="11">
                  <c:v>18.364241897058818</c:v>
                </c:pt>
                <c:pt idx="12">
                  <c:v>16.849337566176473</c:v>
                </c:pt>
                <c:pt idx="13">
                  <c:v>15.317698742647059</c:v>
                </c:pt>
                <c:pt idx="14">
                  <c:v>13.840380632352939</c:v>
                </c:pt>
                <c:pt idx="15">
                  <c:v>12.396561875</c:v>
                </c:pt>
                <c:pt idx="16">
                  <c:v>11.22066044117647</c:v>
                </c:pt>
                <c:pt idx="17">
                  <c:v>10.148845683823531</c:v>
                </c:pt>
                <c:pt idx="18">
                  <c:v>9.3183011617647047</c:v>
                </c:pt>
                <c:pt idx="19">
                  <c:v>8.5777318455882359</c:v>
                </c:pt>
                <c:pt idx="20">
                  <c:v>7.8048130147058812</c:v>
                </c:pt>
                <c:pt idx="21">
                  <c:v>7.028161286764707</c:v>
                </c:pt>
                <c:pt idx="22">
                  <c:v>6.3662094485294123</c:v>
                </c:pt>
                <c:pt idx="23">
                  <c:v>5.936608176470588</c:v>
                </c:pt>
                <c:pt idx="24">
                  <c:v>5.3452055147058815</c:v>
                </c:pt>
                <c:pt idx="25">
                  <c:v>4.8987595735294116</c:v>
                </c:pt>
                <c:pt idx="26">
                  <c:v>4.4390514558823533</c:v>
                </c:pt>
                <c:pt idx="27">
                  <c:v>4.0338563455882355</c:v>
                </c:pt>
                <c:pt idx="28">
                  <c:v>3.7616711397058822</c:v>
                </c:pt>
                <c:pt idx="29">
                  <c:v>3.5000185147058827</c:v>
                </c:pt>
                <c:pt idx="30">
                  <c:v>3.2551240220588236</c:v>
                </c:pt>
                <c:pt idx="31">
                  <c:v>3.0424803235294116</c:v>
                </c:pt>
                <c:pt idx="32">
                  <c:v>2.8324303161764708</c:v>
                </c:pt>
                <c:pt idx="33">
                  <c:v>2.6550249485294124</c:v>
                </c:pt>
                <c:pt idx="34">
                  <c:v>2.4670100220588234</c:v>
                </c:pt>
                <c:pt idx="35">
                  <c:v>2.2880365220588237</c:v>
                </c:pt>
                <c:pt idx="36">
                  <c:v>2.10895505882353</c:v>
                </c:pt>
                <c:pt idx="37">
                  <c:v>1.9199903161764706</c:v>
                </c:pt>
                <c:pt idx="38">
                  <c:v>1.7412632205882355</c:v>
                </c:pt>
                <c:pt idx="39">
                  <c:v>1.566649867647059</c:v>
                </c:pt>
                <c:pt idx="40">
                  <c:v>1.4034984558823531</c:v>
                </c:pt>
                <c:pt idx="41">
                  <c:v>1.2593414779411769</c:v>
                </c:pt>
                <c:pt idx="42">
                  <c:v>1.1178934117647059</c:v>
                </c:pt>
                <c:pt idx="43">
                  <c:v>1.0178938970588236</c:v>
                </c:pt>
                <c:pt idx="44">
                  <c:v>0.90090924264705896</c:v>
                </c:pt>
                <c:pt idx="45">
                  <c:v>0.81138623529411769</c:v>
                </c:pt>
                <c:pt idx="46">
                  <c:v>0.71914419117647066</c:v>
                </c:pt>
                <c:pt idx="47">
                  <c:v>0.63406578676470604</c:v>
                </c:pt>
                <c:pt idx="48">
                  <c:v>0.55671080147058838</c:v>
                </c:pt>
                <c:pt idx="49">
                  <c:v>0.48198001470588242</c:v>
                </c:pt>
                <c:pt idx="50">
                  <c:v>0.4172294191176471</c:v>
                </c:pt>
                <c:pt idx="51">
                  <c:v>0.35719497058823535</c:v>
                </c:pt>
                <c:pt idx="52">
                  <c:v>0.30972791911764708</c:v>
                </c:pt>
                <c:pt idx="53">
                  <c:v>0.27489015441176473</c:v>
                </c:pt>
              </c:numCache>
            </c:numRef>
          </c:xVal>
          <c:yVal>
            <c:numRef>
              <c:f>'Benefit loss calculation'!$P$9:$P$62</c:f>
              <c:numCache>
                <c:formatCode>_-* #\ ##0_-;\-* #\ ##0_-;_-* "-"??_-;_-@_-</c:formatCode>
                <c:ptCount val="54"/>
                <c:pt idx="0">
                  <c:v>18029196.837271333</c:v>
                </c:pt>
                <c:pt idx="1">
                  <c:v>15885038.630535364</c:v>
                </c:pt>
                <c:pt idx="2">
                  <c:v>13911323.077107169</c:v>
                </c:pt>
                <c:pt idx="3">
                  <c:v>12097413.19851274</c:v>
                </c:pt>
                <c:pt idx="4">
                  <c:v>10436960.065746233</c:v>
                </c:pt>
                <c:pt idx="5">
                  <c:v>8919887.3617452085</c:v>
                </c:pt>
                <c:pt idx="6">
                  <c:v>7533732.1590985209</c:v>
                </c:pt>
                <c:pt idx="7">
                  <c:v>6270222.6832021996</c:v>
                </c:pt>
                <c:pt idx="8">
                  <c:v>5129302.9885974973</c:v>
                </c:pt>
                <c:pt idx="9">
                  <c:v>4103925.4840838388</c:v>
                </c:pt>
                <c:pt idx="10">
                  <c:v>3205230.005734235</c:v>
                </c:pt>
                <c:pt idx="11">
                  <c:v>2429062.2946971208</c:v>
                </c:pt>
                <c:pt idx="12">
                  <c:v>1774388.7625771612</c:v>
                </c:pt>
                <c:pt idx="13">
                  <c:v>1232881.8715075254</c:v>
                </c:pt>
                <c:pt idx="14">
                  <c:v>803748.27132895589</c:v>
                </c:pt>
                <c:pt idx="15">
                  <c:v>480925.06777179986</c:v>
                </c:pt>
                <c:pt idx="16">
                  <c:v>247214.05124484748</c:v>
                </c:pt>
                <c:pt idx="17">
                  <c:v>104206.59377996624</c:v>
                </c:pt>
                <c:pt idx="18">
                  <c:v>24147.324664138258</c:v>
                </c:pt>
                <c:pt idx="19">
                  <c:v>0</c:v>
                </c:pt>
                <c:pt idx="20">
                  <c:v>32782.713551022112</c:v>
                </c:pt>
                <c:pt idx="21">
                  <c:v>123380.72970985621</c:v>
                </c:pt>
                <c:pt idx="22">
                  <c:v>262395.50114044547</c:v>
                </c:pt>
                <c:pt idx="23">
                  <c:v>444141.90323103219</c:v>
                </c:pt>
                <c:pt idx="24">
                  <c:v>664029.35699053854</c:v>
                </c:pt>
                <c:pt idx="25">
                  <c:v>921620.16604252905</c:v>
                </c:pt>
                <c:pt idx="26">
                  <c:v>1210476.4479388967</c:v>
                </c:pt>
                <c:pt idx="27">
                  <c:v>1529440.4578850195</c:v>
                </c:pt>
                <c:pt idx="28">
                  <c:v>1874362.2204084918</c:v>
                </c:pt>
                <c:pt idx="29">
                  <c:v>2239383.9573668167</c:v>
                </c:pt>
                <c:pt idx="30">
                  <c:v>2623100.9951866716</c:v>
                </c:pt>
                <c:pt idx="31">
                  <c:v>3023426.4533298984</c:v>
                </c:pt>
                <c:pt idx="32">
                  <c:v>3438946.8941493928</c:v>
                </c:pt>
                <c:pt idx="33">
                  <c:v>3868810.5690818503</c:v>
                </c:pt>
                <c:pt idx="34">
                  <c:v>4311847.4247919768</c:v>
                </c:pt>
                <c:pt idx="35">
                  <c:v>4768652.2247570679</c:v>
                </c:pt>
                <c:pt idx="36">
                  <c:v>5238241.6923810691</c:v>
                </c:pt>
                <c:pt idx="37">
                  <c:v>5721542.4166973233</c:v>
                </c:pt>
                <c:pt idx="38">
                  <c:v>6217930.4048824459</c:v>
                </c:pt>
                <c:pt idx="39">
                  <c:v>6727715.6188837066</c:v>
                </c:pt>
                <c:pt idx="40">
                  <c:v>7249654.57234817</c:v>
                </c:pt>
                <c:pt idx="41">
                  <c:v>7782485.7579529434</c:v>
                </c:pt>
                <c:pt idx="42">
                  <c:v>8325978.3365648836</c:v>
                </c:pt>
                <c:pt idx="43">
                  <c:v>8878220.2049826682</c:v>
                </c:pt>
                <c:pt idx="44">
                  <c:v>9438211.4599343985</c:v>
                </c:pt>
                <c:pt idx="45">
                  <c:v>10005778.570944764</c:v>
                </c:pt>
                <c:pt idx="46">
                  <c:v>10580058.405512236</c:v>
                </c:pt>
                <c:pt idx="47">
                  <c:v>11160631.657458588</c:v>
                </c:pt>
                <c:pt idx="48">
                  <c:v>11747278.844669715</c:v>
                </c:pt>
                <c:pt idx="49">
                  <c:v>12339502.300242491</c:v>
                </c:pt>
                <c:pt idx="50">
                  <c:v>12937002.6832349</c:v>
                </c:pt>
                <c:pt idx="51">
                  <c:v>13538477.84376619</c:v>
                </c:pt>
                <c:pt idx="52">
                  <c:v>14144199.57632684</c:v>
                </c:pt>
                <c:pt idx="53">
                  <c:v>14752823.316407472</c:v>
                </c:pt>
              </c:numCache>
            </c:numRef>
          </c:yVal>
          <c:smooth val="0"/>
          <c:extLst>
            <c:ext xmlns:c16="http://schemas.microsoft.com/office/drawing/2014/chart" uri="{C3380CC4-5D6E-409C-BE32-E72D297353CC}">
              <c16:uniqueId val="{00000000-9225-4C7A-8722-07584463C2E2}"/>
            </c:ext>
          </c:extLst>
        </c:ser>
        <c:dLbls>
          <c:showLegendKey val="0"/>
          <c:showVal val="0"/>
          <c:showCatName val="0"/>
          <c:showSerName val="0"/>
          <c:showPercent val="0"/>
          <c:showBubbleSize val="0"/>
        </c:dLbls>
        <c:axId val="708238616"/>
        <c:axId val="708235992"/>
      </c:scatterChart>
      <c:valAx>
        <c:axId val="708238616"/>
        <c:scaling>
          <c:orientation val="minMax"/>
          <c:max val="20"/>
          <c:min val="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LOLE, </a:t>
                </a:r>
                <a:r>
                  <a:rPr lang="et-EE"/>
                  <a:t>h</a:t>
                </a:r>
                <a:r>
                  <a:rPr lang="en-GB"/>
                  <a:t>/</a:t>
                </a:r>
                <a:r>
                  <a:rPr lang="et-EE"/>
                  <a:t>a</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08235992"/>
        <c:crosses val="autoZero"/>
        <c:crossBetween val="midCat"/>
        <c:majorUnit val="2"/>
      </c:valAx>
      <c:valAx>
        <c:axId val="708235992"/>
        <c:scaling>
          <c:orientation val="minMax"/>
          <c:max val="30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Lisakulud ühiskonnale</a:t>
                </a:r>
                <a:r>
                  <a:rPr lang="en-GB"/>
                  <a:t>,</a:t>
                </a:r>
                <a:r>
                  <a:rPr lang="et-EE"/>
                  <a:t> </a:t>
                </a:r>
                <a:r>
                  <a:rPr lang="en-GB"/>
                  <a: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082386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ndard"/>
        <c:varyColors val="0"/>
        <c:ser>
          <c:idx val="1"/>
          <c:order val="1"/>
          <c:tx>
            <c:strRef>
              <c:f>Sheet1!$I$5</c:f>
              <c:strCache>
                <c:ptCount val="1"/>
                <c:pt idx="0">
                  <c:v>Andmata jäänud energia</c:v>
                </c:pt>
              </c:strCache>
            </c:strRef>
          </c:tx>
          <c:spPr>
            <a:pattFill prst="wdUpDiag">
              <a:fgClr>
                <a:schemeClr val="accent2"/>
              </a:fgClr>
              <a:bgClr>
                <a:schemeClr val="bg1"/>
              </a:bgClr>
            </a:pattFill>
            <a:ln w="12700">
              <a:solidFill>
                <a:schemeClr val="accent2"/>
              </a:solidFill>
            </a:ln>
            <a:effectLst/>
          </c:spPr>
          <c:cat>
            <c:numRef>
              <c:f>Sheet1!$B$822:$B$917</c:f>
              <c:numCache>
                <c:formatCode>General</c:formatCode>
                <c:ptCount val="96"/>
                <c:pt idx="0">
                  <c:v>817</c:v>
                </c:pt>
                <c:pt idx="1">
                  <c:v>818</c:v>
                </c:pt>
                <c:pt idx="2">
                  <c:v>819</c:v>
                </c:pt>
                <c:pt idx="3">
                  <c:v>820</c:v>
                </c:pt>
                <c:pt idx="4">
                  <c:v>821</c:v>
                </c:pt>
                <c:pt idx="5">
                  <c:v>822</c:v>
                </c:pt>
                <c:pt idx="6">
                  <c:v>823</c:v>
                </c:pt>
                <c:pt idx="7">
                  <c:v>824</c:v>
                </c:pt>
                <c:pt idx="8">
                  <c:v>825</c:v>
                </c:pt>
                <c:pt idx="9">
                  <c:v>826</c:v>
                </c:pt>
                <c:pt idx="10">
                  <c:v>827</c:v>
                </c:pt>
                <c:pt idx="11">
                  <c:v>828</c:v>
                </c:pt>
                <c:pt idx="12">
                  <c:v>829</c:v>
                </c:pt>
                <c:pt idx="13">
                  <c:v>830</c:v>
                </c:pt>
                <c:pt idx="14">
                  <c:v>831</c:v>
                </c:pt>
                <c:pt idx="15">
                  <c:v>832</c:v>
                </c:pt>
                <c:pt idx="16">
                  <c:v>833</c:v>
                </c:pt>
                <c:pt idx="17">
                  <c:v>834</c:v>
                </c:pt>
                <c:pt idx="18">
                  <c:v>835</c:v>
                </c:pt>
                <c:pt idx="19">
                  <c:v>836</c:v>
                </c:pt>
                <c:pt idx="20">
                  <c:v>837</c:v>
                </c:pt>
                <c:pt idx="21">
                  <c:v>838</c:v>
                </c:pt>
                <c:pt idx="22">
                  <c:v>839</c:v>
                </c:pt>
                <c:pt idx="23">
                  <c:v>840</c:v>
                </c:pt>
                <c:pt idx="24">
                  <c:v>841</c:v>
                </c:pt>
                <c:pt idx="25">
                  <c:v>842</c:v>
                </c:pt>
                <c:pt idx="26">
                  <c:v>843</c:v>
                </c:pt>
                <c:pt idx="27">
                  <c:v>844</c:v>
                </c:pt>
                <c:pt idx="28">
                  <c:v>845</c:v>
                </c:pt>
                <c:pt idx="29">
                  <c:v>846</c:v>
                </c:pt>
                <c:pt idx="30">
                  <c:v>847</c:v>
                </c:pt>
                <c:pt idx="31">
                  <c:v>848</c:v>
                </c:pt>
                <c:pt idx="32">
                  <c:v>849</c:v>
                </c:pt>
                <c:pt idx="33">
                  <c:v>850</c:v>
                </c:pt>
                <c:pt idx="34">
                  <c:v>851</c:v>
                </c:pt>
                <c:pt idx="35">
                  <c:v>852</c:v>
                </c:pt>
                <c:pt idx="36">
                  <c:v>853</c:v>
                </c:pt>
                <c:pt idx="37">
                  <c:v>854</c:v>
                </c:pt>
                <c:pt idx="38">
                  <c:v>855</c:v>
                </c:pt>
                <c:pt idx="39">
                  <c:v>856</c:v>
                </c:pt>
                <c:pt idx="40">
                  <c:v>857</c:v>
                </c:pt>
                <c:pt idx="41">
                  <c:v>858</c:v>
                </c:pt>
                <c:pt idx="42">
                  <c:v>859</c:v>
                </c:pt>
                <c:pt idx="43">
                  <c:v>860</c:v>
                </c:pt>
                <c:pt idx="44">
                  <c:v>861</c:v>
                </c:pt>
                <c:pt idx="45">
                  <c:v>862</c:v>
                </c:pt>
                <c:pt idx="46">
                  <c:v>863</c:v>
                </c:pt>
                <c:pt idx="47">
                  <c:v>864</c:v>
                </c:pt>
                <c:pt idx="48">
                  <c:v>865</c:v>
                </c:pt>
                <c:pt idx="49">
                  <c:v>866</c:v>
                </c:pt>
                <c:pt idx="50">
                  <c:v>867</c:v>
                </c:pt>
                <c:pt idx="51">
                  <c:v>868</c:v>
                </c:pt>
                <c:pt idx="52">
                  <c:v>869</c:v>
                </c:pt>
                <c:pt idx="53">
                  <c:v>870</c:v>
                </c:pt>
                <c:pt idx="54">
                  <c:v>871</c:v>
                </c:pt>
                <c:pt idx="55">
                  <c:v>872</c:v>
                </c:pt>
                <c:pt idx="56">
                  <c:v>873</c:v>
                </c:pt>
                <c:pt idx="57">
                  <c:v>874</c:v>
                </c:pt>
                <c:pt idx="58">
                  <c:v>875</c:v>
                </c:pt>
                <c:pt idx="59">
                  <c:v>876</c:v>
                </c:pt>
                <c:pt idx="60">
                  <c:v>877</c:v>
                </c:pt>
                <c:pt idx="61">
                  <c:v>878</c:v>
                </c:pt>
                <c:pt idx="62">
                  <c:v>879</c:v>
                </c:pt>
                <c:pt idx="63">
                  <c:v>880</c:v>
                </c:pt>
                <c:pt idx="64">
                  <c:v>881</c:v>
                </c:pt>
                <c:pt idx="65">
                  <c:v>882</c:v>
                </c:pt>
                <c:pt idx="66">
                  <c:v>883</c:v>
                </c:pt>
                <c:pt idx="67">
                  <c:v>884</c:v>
                </c:pt>
                <c:pt idx="68">
                  <c:v>885</c:v>
                </c:pt>
                <c:pt idx="69">
                  <c:v>886</c:v>
                </c:pt>
                <c:pt idx="70">
                  <c:v>887</c:v>
                </c:pt>
                <c:pt idx="71">
                  <c:v>888</c:v>
                </c:pt>
                <c:pt idx="72">
                  <c:v>889</c:v>
                </c:pt>
                <c:pt idx="73">
                  <c:v>890</c:v>
                </c:pt>
                <c:pt idx="74">
                  <c:v>891</c:v>
                </c:pt>
                <c:pt idx="75">
                  <c:v>892</c:v>
                </c:pt>
                <c:pt idx="76">
                  <c:v>893</c:v>
                </c:pt>
                <c:pt idx="77">
                  <c:v>894</c:v>
                </c:pt>
                <c:pt idx="78">
                  <c:v>895</c:v>
                </c:pt>
                <c:pt idx="79">
                  <c:v>896</c:v>
                </c:pt>
                <c:pt idx="80">
                  <c:v>897</c:v>
                </c:pt>
                <c:pt idx="81">
                  <c:v>898</c:v>
                </c:pt>
                <c:pt idx="82">
                  <c:v>899</c:v>
                </c:pt>
                <c:pt idx="83">
                  <c:v>900</c:v>
                </c:pt>
                <c:pt idx="84">
                  <c:v>901</c:v>
                </c:pt>
                <c:pt idx="85">
                  <c:v>902</c:v>
                </c:pt>
                <c:pt idx="86">
                  <c:v>903</c:v>
                </c:pt>
                <c:pt idx="87">
                  <c:v>904</c:v>
                </c:pt>
                <c:pt idx="88">
                  <c:v>905</c:v>
                </c:pt>
                <c:pt idx="89">
                  <c:v>906</c:v>
                </c:pt>
                <c:pt idx="90">
                  <c:v>907</c:v>
                </c:pt>
                <c:pt idx="91">
                  <c:v>908</c:v>
                </c:pt>
                <c:pt idx="92">
                  <c:v>909</c:v>
                </c:pt>
                <c:pt idx="93">
                  <c:v>910</c:v>
                </c:pt>
                <c:pt idx="94">
                  <c:v>911</c:v>
                </c:pt>
                <c:pt idx="95">
                  <c:v>912</c:v>
                </c:pt>
              </c:numCache>
            </c:numRef>
          </c:cat>
          <c:val>
            <c:numRef>
              <c:f>Sheet1!$C$822:$C$917</c:f>
              <c:numCache>
                <c:formatCode>General</c:formatCode>
                <c:ptCount val="96"/>
                <c:pt idx="0">
                  <c:v>1134.7</c:v>
                </c:pt>
                <c:pt idx="1">
                  <c:v>1118.5</c:v>
                </c:pt>
                <c:pt idx="2">
                  <c:v>1105.4000000000001</c:v>
                </c:pt>
                <c:pt idx="3">
                  <c:v>1090.2</c:v>
                </c:pt>
                <c:pt idx="4">
                  <c:v>1091.2</c:v>
                </c:pt>
                <c:pt idx="5">
                  <c:v>1136.3</c:v>
                </c:pt>
                <c:pt idx="6">
                  <c:v>1203.8</c:v>
                </c:pt>
                <c:pt idx="7">
                  <c:v>1261.3</c:v>
                </c:pt>
                <c:pt idx="8">
                  <c:v>1294.2</c:v>
                </c:pt>
                <c:pt idx="9">
                  <c:v>1306.3</c:v>
                </c:pt>
                <c:pt idx="10">
                  <c:v>1303.0999999999999</c:v>
                </c:pt>
                <c:pt idx="11">
                  <c:v>1320.6</c:v>
                </c:pt>
                <c:pt idx="12">
                  <c:v>1329</c:v>
                </c:pt>
                <c:pt idx="13">
                  <c:v>1334.4</c:v>
                </c:pt>
                <c:pt idx="14">
                  <c:v>1357.7</c:v>
                </c:pt>
                <c:pt idx="15">
                  <c:v>1400.6</c:v>
                </c:pt>
                <c:pt idx="16">
                  <c:v>1427.1</c:v>
                </c:pt>
                <c:pt idx="17">
                  <c:v>1423.8</c:v>
                </c:pt>
                <c:pt idx="18">
                  <c:v>1384.6</c:v>
                </c:pt>
                <c:pt idx="19">
                  <c:v>1323.4</c:v>
                </c:pt>
                <c:pt idx="20">
                  <c:v>1256.5999999999999</c:v>
                </c:pt>
                <c:pt idx="21">
                  <c:v>1239.9000000000001</c:v>
                </c:pt>
                <c:pt idx="22">
                  <c:v>1186.3</c:v>
                </c:pt>
                <c:pt idx="23">
                  <c:v>1149.5</c:v>
                </c:pt>
                <c:pt idx="24">
                  <c:v>1152.9000000000001</c:v>
                </c:pt>
                <c:pt idx="25">
                  <c:v>1134.0999999999999</c:v>
                </c:pt>
                <c:pt idx="26">
                  <c:v>1122.7</c:v>
                </c:pt>
                <c:pt idx="27">
                  <c:v>1126.5999999999999</c:v>
                </c:pt>
                <c:pt idx="28">
                  <c:v>1225.3</c:v>
                </c:pt>
                <c:pt idx="29">
                  <c:v>1389.3</c:v>
                </c:pt>
                <c:pt idx="30">
                  <c:v>1519.5</c:v>
                </c:pt>
                <c:pt idx="31">
                  <c:v>1563.6</c:v>
                </c:pt>
                <c:pt idx="32">
                  <c:v>1556.9</c:v>
                </c:pt>
                <c:pt idx="33">
                  <c:v>1542.1</c:v>
                </c:pt>
                <c:pt idx="34">
                  <c:v>1508.4</c:v>
                </c:pt>
                <c:pt idx="35">
                  <c:v>1544.3</c:v>
                </c:pt>
                <c:pt idx="36">
                  <c:v>1539.8</c:v>
                </c:pt>
                <c:pt idx="37">
                  <c:v>1536.4</c:v>
                </c:pt>
                <c:pt idx="38">
                  <c:v>1530.9</c:v>
                </c:pt>
                <c:pt idx="39">
                  <c:v>1535.9</c:v>
                </c:pt>
                <c:pt idx="40">
                  <c:v>1540.6</c:v>
                </c:pt>
                <c:pt idx="41">
                  <c:v>1524.2</c:v>
                </c:pt>
                <c:pt idx="42">
                  <c:v>1487.3</c:v>
                </c:pt>
                <c:pt idx="43">
                  <c:v>1433.2</c:v>
                </c:pt>
                <c:pt idx="44">
                  <c:v>1350.1</c:v>
                </c:pt>
                <c:pt idx="45">
                  <c:v>1304.2</c:v>
                </c:pt>
                <c:pt idx="46">
                  <c:v>1228</c:v>
                </c:pt>
                <c:pt idx="47">
                  <c:v>1185.7</c:v>
                </c:pt>
                <c:pt idx="48">
                  <c:v>1200.8</c:v>
                </c:pt>
                <c:pt idx="49">
                  <c:v>1185.7</c:v>
                </c:pt>
                <c:pt idx="50">
                  <c:v>1178.7</c:v>
                </c:pt>
                <c:pt idx="51">
                  <c:v>1190.5999999999999</c:v>
                </c:pt>
                <c:pt idx="52">
                  <c:v>1294.7</c:v>
                </c:pt>
                <c:pt idx="53">
                  <c:v>1455.5</c:v>
                </c:pt>
                <c:pt idx="54">
                  <c:v>1574.8</c:v>
                </c:pt>
                <c:pt idx="55">
                  <c:v>1607.9</c:v>
                </c:pt>
                <c:pt idx="56">
                  <c:v>1594.7</c:v>
                </c:pt>
                <c:pt idx="57">
                  <c:v>1575.7</c:v>
                </c:pt>
                <c:pt idx="58">
                  <c:v>1542.4</c:v>
                </c:pt>
                <c:pt idx="59">
                  <c:v>1577.1</c:v>
                </c:pt>
                <c:pt idx="60">
                  <c:v>1571.8</c:v>
                </c:pt>
                <c:pt idx="61">
                  <c:v>1567</c:v>
                </c:pt>
                <c:pt idx="62">
                  <c:v>1559.6</c:v>
                </c:pt>
                <c:pt idx="63">
                  <c:v>1565.6</c:v>
                </c:pt>
                <c:pt idx="64">
                  <c:v>1573.4</c:v>
                </c:pt>
                <c:pt idx="65">
                  <c:v>1558.7</c:v>
                </c:pt>
                <c:pt idx="66">
                  <c:v>1520.9</c:v>
                </c:pt>
                <c:pt idx="67">
                  <c:v>1462.6</c:v>
                </c:pt>
                <c:pt idx="68">
                  <c:v>1377.4</c:v>
                </c:pt>
                <c:pt idx="69">
                  <c:v>1335.9</c:v>
                </c:pt>
                <c:pt idx="70">
                  <c:v>1266.5</c:v>
                </c:pt>
                <c:pt idx="71">
                  <c:v>1229.4000000000001</c:v>
                </c:pt>
                <c:pt idx="72">
                  <c:v>1252.0999999999999</c:v>
                </c:pt>
                <c:pt idx="73">
                  <c:v>1236.4000000000001</c:v>
                </c:pt>
                <c:pt idx="74">
                  <c:v>1231.2</c:v>
                </c:pt>
                <c:pt idx="75">
                  <c:v>1253.4000000000001</c:v>
                </c:pt>
                <c:pt idx="76">
                  <c:v>1359.9</c:v>
                </c:pt>
                <c:pt idx="77">
                  <c:v>1515.3</c:v>
                </c:pt>
                <c:pt idx="78">
                  <c:v>1626.2</c:v>
                </c:pt>
                <c:pt idx="79">
                  <c:v>1657.2</c:v>
                </c:pt>
                <c:pt idx="80">
                  <c:v>1648.1</c:v>
                </c:pt>
                <c:pt idx="81">
                  <c:v>1631.8</c:v>
                </c:pt>
                <c:pt idx="82">
                  <c:v>1607.1</c:v>
                </c:pt>
                <c:pt idx="83">
                  <c:v>1638.6</c:v>
                </c:pt>
                <c:pt idx="84">
                  <c:v>1634.4</c:v>
                </c:pt>
                <c:pt idx="85">
                  <c:v>1627.7</c:v>
                </c:pt>
                <c:pt idx="86">
                  <c:v>1621.1</c:v>
                </c:pt>
                <c:pt idx="87">
                  <c:v>1625.5</c:v>
                </c:pt>
                <c:pt idx="88">
                  <c:v>1625.7</c:v>
                </c:pt>
                <c:pt idx="89">
                  <c:v>1604.8</c:v>
                </c:pt>
                <c:pt idx="90">
                  <c:v>1565</c:v>
                </c:pt>
                <c:pt idx="91">
                  <c:v>1505.7</c:v>
                </c:pt>
                <c:pt idx="92">
                  <c:v>1422.3</c:v>
                </c:pt>
                <c:pt idx="93">
                  <c:v>1383.6</c:v>
                </c:pt>
                <c:pt idx="94">
                  <c:v>1317.1</c:v>
                </c:pt>
                <c:pt idx="95">
                  <c:v>1280.0999999999999</c:v>
                </c:pt>
              </c:numCache>
            </c:numRef>
          </c:val>
          <c:extLst>
            <c:ext xmlns:c16="http://schemas.microsoft.com/office/drawing/2014/chart" uri="{C3380CC4-5D6E-409C-BE32-E72D297353CC}">
              <c16:uniqueId val="{00000000-6D80-4F04-B1EA-AD22F2EA9094}"/>
            </c:ext>
          </c:extLst>
        </c:ser>
        <c:dLbls>
          <c:showLegendKey val="0"/>
          <c:showVal val="0"/>
          <c:showCatName val="0"/>
          <c:showSerName val="0"/>
          <c:showPercent val="0"/>
          <c:showBubbleSize val="0"/>
        </c:dLbls>
        <c:axId val="533090464"/>
        <c:axId val="533090136"/>
      </c:areaChart>
      <c:areaChart>
        <c:grouping val="stacked"/>
        <c:varyColors val="0"/>
        <c:ser>
          <c:idx val="4"/>
          <c:order val="2"/>
          <c:tx>
            <c:strRef>
              <c:f>Sheet1!$O$5</c:f>
              <c:strCache>
                <c:ptCount val="1"/>
                <c:pt idx="0">
                  <c:v>Biomass</c:v>
                </c:pt>
              </c:strCache>
            </c:strRef>
          </c:tx>
          <c:spPr>
            <a:solidFill>
              <a:schemeClr val="accent4">
                <a:lumMod val="75000"/>
              </a:schemeClr>
            </a:solidFill>
            <a:ln w="6350">
              <a:solidFill>
                <a:schemeClr val="tx1"/>
              </a:solidFill>
            </a:ln>
            <a:effectLst/>
          </c:spPr>
          <c:val>
            <c:numRef>
              <c:f>Sheet1!$O$822:$O$917</c:f>
              <c:numCache>
                <c:formatCode>General</c:formatCode>
                <c:ptCount val="96"/>
                <c:pt idx="0">
                  <c:v>113.1</c:v>
                </c:pt>
                <c:pt idx="1">
                  <c:v>113.1</c:v>
                </c:pt>
                <c:pt idx="2">
                  <c:v>113.1</c:v>
                </c:pt>
                <c:pt idx="3">
                  <c:v>113.1</c:v>
                </c:pt>
                <c:pt idx="4">
                  <c:v>113.1</c:v>
                </c:pt>
                <c:pt idx="5">
                  <c:v>113.1</c:v>
                </c:pt>
                <c:pt idx="6">
                  <c:v>113.1</c:v>
                </c:pt>
                <c:pt idx="7">
                  <c:v>113.1</c:v>
                </c:pt>
                <c:pt idx="8">
                  <c:v>113.1</c:v>
                </c:pt>
                <c:pt idx="9">
                  <c:v>113.1</c:v>
                </c:pt>
                <c:pt idx="10">
                  <c:v>113.1</c:v>
                </c:pt>
                <c:pt idx="11">
                  <c:v>113.1</c:v>
                </c:pt>
                <c:pt idx="12">
                  <c:v>113.1</c:v>
                </c:pt>
                <c:pt idx="13">
                  <c:v>113.1</c:v>
                </c:pt>
                <c:pt idx="14">
                  <c:v>113.1</c:v>
                </c:pt>
                <c:pt idx="15">
                  <c:v>113.1</c:v>
                </c:pt>
                <c:pt idx="16">
                  <c:v>113.1</c:v>
                </c:pt>
                <c:pt idx="17">
                  <c:v>113.1</c:v>
                </c:pt>
                <c:pt idx="18">
                  <c:v>113.1</c:v>
                </c:pt>
                <c:pt idx="19">
                  <c:v>113.1</c:v>
                </c:pt>
                <c:pt idx="20">
                  <c:v>113.1</c:v>
                </c:pt>
                <c:pt idx="21">
                  <c:v>113.1</c:v>
                </c:pt>
                <c:pt idx="22">
                  <c:v>113.1</c:v>
                </c:pt>
                <c:pt idx="23">
                  <c:v>113.1</c:v>
                </c:pt>
                <c:pt idx="24">
                  <c:v>113.1</c:v>
                </c:pt>
                <c:pt idx="25">
                  <c:v>113.1</c:v>
                </c:pt>
                <c:pt idx="26">
                  <c:v>113.1</c:v>
                </c:pt>
                <c:pt idx="27">
                  <c:v>113.1</c:v>
                </c:pt>
                <c:pt idx="28">
                  <c:v>113.1</c:v>
                </c:pt>
                <c:pt idx="29">
                  <c:v>113.1</c:v>
                </c:pt>
                <c:pt idx="30">
                  <c:v>113.1</c:v>
                </c:pt>
                <c:pt idx="31">
                  <c:v>113.1</c:v>
                </c:pt>
                <c:pt idx="32">
                  <c:v>113.1</c:v>
                </c:pt>
                <c:pt idx="33">
                  <c:v>113.1</c:v>
                </c:pt>
                <c:pt idx="34">
                  <c:v>113.1</c:v>
                </c:pt>
                <c:pt idx="35">
                  <c:v>113.1</c:v>
                </c:pt>
                <c:pt idx="36">
                  <c:v>113.1</c:v>
                </c:pt>
                <c:pt idx="37">
                  <c:v>113.1</c:v>
                </c:pt>
                <c:pt idx="38">
                  <c:v>113.1</c:v>
                </c:pt>
                <c:pt idx="39">
                  <c:v>113.1</c:v>
                </c:pt>
                <c:pt idx="40">
                  <c:v>113.1</c:v>
                </c:pt>
                <c:pt idx="41">
                  <c:v>113.1</c:v>
                </c:pt>
                <c:pt idx="42">
                  <c:v>113.1</c:v>
                </c:pt>
                <c:pt idx="43">
                  <c:v>113.1</c:v>
                </c:pt>
                <c:pt idx="44">
                  <c:v>113.1</c:v>
                </c:pt>
                <c:pt idx="45">
                  <c:v>113.1</c:v>
                </c:pt>
                <c:pt idx="46">
                  <c:v>113.1</c:v>
                </c:pt>
                <c:pt idx="47">
                  <c:v>113.1</c:v>
                </c:pt>
                <c:pt idx="48">
                  <c:v>113.1</c:v>
                </c:pt>
                <c:pt idx="49">
                  <c:v>113.1</c:v>
                </c:pt>
                <c:pt idx="50">
                  <c:v>113.1</c:v>
                </c:pt>
                <c:pt idx="51">
                  <c:v>113.1</c:v>
                </c:pt>
                <c:pt idx="52">
                  <c:v>113.1</c:v>
                </c:pt>
                <c:pt idx="53">
                  <c:v>113.1</c:v>
                </c:pt>
                <c:pt idx="54">
                  <c:v>113.1</c:v>
                </c:pt>
                <c:pt idx="55">
                  <c:v>113.1</c:v>
                </c:pt>
                <c:pt idx="56">
                  <c:v>113.1</c:v>
                </c:pt>
                <c:pt idx="57">
                  <c:v>113.1</c:v>
                </c:pt>
                <c:pt idx="58">
                  <c:v>113.1</c:v>
                </c:pt>
                <c:pt idx="59">
                  <c:v>113.1</c:v>
                </c:pt>
                <c:pt idx="60">
                  <c:v>113.1</c:v>
                </c:pt>
                <c:pt idx="61">
                  <c:v>113.1</c:v>
                </c:pt>
                <c:pt idx="62">
                  <c:v>113.1</c:v>
                </c:pt>
                <c:pt idx="63">
                  <c:v>113.1</c:v>
                </c:pt>
                <c:pt idx="64">
                  <c:v>113.1</c:v>
                </c:pt>
                <c:pt idx="65">
                  <c:v>113.1</c:v>
                </c:pt>
                <c:pt idx="66">
                  <c:v>113.1</c:v>
                </c:pt>
                <c:pt idx="67">
                  <c:v>113.1</c:v>
                </c:pt>
                <c:pt idx="68">
                  <c:v>113.1</c:v>
                </c:pt>
                <c:pt idx="69">
                  <c:v>113.1</c:v>
                </c:pt>
                <c:pt idx="70">
                  <c:v>113.1</c:v>
                </c:pt>
                <c:pt idx="71">
                  <c:v>113.1</c:v>
                </c:pt>
                <c:pt idx="72">
                  <c:v>113.1</c:v>
                </c:pt>
                <c:pt idx="73">
                  <c:v>113.1</c:v>
                </c:pt>
                <c:pt idx="74">
                  <c:v>113.1</c:v>
                </c:pt>
                <c:pt idx="75">
                  <c:v>113.1</c:v>
                </c:pt>
                <c:pt idx="76">
                  <c:v>113.1</c:v>
                </c:pt>
                <c:pt idx="77">
                  <c:v>113.1</c:v>
                </c:pt>
                <c:pt idx="78">
                  <c:v>113.1</c:v>
                </c:pt>
                <c:pt idx="79">
                  <c:v>113.1</c:v>
                </c:pt>
                <c:pt idx="80">
                  <c:v>113.1</c:v>
                </c:pt>
                <c:pt idx="81">
                  <c:v>113.1</c:v>
                </c:pt>
                <c:pt idx="82">
                  <c:v>113.1</c:v>
                </c:pt>
                <c:pt idx="83">
                  <c:v>113.1</c:v>
                </c:pt>
                <c:pt idx="84">
                  <c:v>113.1</c:v>
                </c:pt>
                <c:pt idx="85">
                  <c:v>113.1</c:v>
                </c:pt>
                <c:pt idx="86">
                  <c:v>113.1</c:v>
                </c:pt>
                <c:pt idx="87">
                  <c:v>113.1</c:v>
                </c:pt>
                <c:pt idx="88">
                  <c:v>113.1</c:v>
                </c:pt>
                <c:pt idx="89">
                  <c:v>113.1</c:v>
                </c:pt>
                <c:pt idx="90">
                  <c:v>113.1</c:v>
                </c:pt>
                <c:pt idx="91">
                  <c:v>113.1</c:v>
                </c:pt>
                <c:pt idx="92">
                  <c:v>113.1</c:v>
                </c:pt>
                <c:pt idx="93">
                  <c:v>113.1</c:v>
                </c:pt>
                <c:pt idx="94">
                  <c:v>113.1</c:v>
                </c:pt>
                <c:pt idx="95">
                  <c:v>113.1</c:v>
                </c:pt>
              </c:numCache>
            </c:numRef>
          </c:val>
          <c:extLst>
            <c:ext xmlns:c16="http://schemas.microsoft.com/office/drawing/2014/chart" uri="{C3380CC4-5D6E-409C-BE32-E72D297353CC}">
              <c16:uniqueId val="{00000001-6D80-4F04-B1EA-AD22F2EA9094}"/>
            </c:ext>
          </c:extLst>
        </c:ser>
        <c:ser>
          <c:idx val="3"/>
          <c:order val="3"/>
          <c:tx>
            <c:strRef>
              <c:f>Sheet1!$N$5</c:f>
              <c:strCache>
                <c:ptCount val="1"/>
                <c:pt idx="0">
                  <c:v>Põlevkivi</c:v>
                </c:pt>
              </c:strCache>
            </c:strRef>
          </c:tx>
          <c:spPr>
            <a:solidFill>
              <a:schemeClr val="tx1">
                <a:lumMod val="50000"/>
                <a:lumOff val="50000"/>
              </a:schemeClr>
            </a:solidFill>
            <a:ln w="6350">
              <a:solidFill>
                <a:schemeClr val="tx1"/>
              </a:solidFill>
            </a:ln>
            <a:effectLst/>
          </c:spPr>
          <c:val>
            <c:numRef>
              <c:f>Sheet1!$N$822:$N$917</c:f>
              <c:numCache>
                <c:formatCode>General</c:formatCode>
                <c:ptCount val="96"/>
                <c:pt idx="0">
                  <c:v>660</c:v>
                </c:pt>
                <c:pt idx="1">
                  <c:v>660</c:v>
                </c:pt>
                <c:pt idx="2">
                  <c:v>660</c:v>
                </c:pt>
                <c:pt idx="3">
                  <c:v>660</c:v>
                </c:pt>
                <c:pt idx="4">
                  <c:v>660</c:v>
                </c:pt>
                <c:pt idx="5">
                  <c:v>660</c:v>
                </c:pt>
                <c:pt idx="6">
                  <c:v>660</c:v>
                </c:pt>
                <c:pt idx="7">
                  <c:v>660</c:v>
                </c:pt>
                <c:pt idx="8">
                  <c:v>660</c:v>
                </c:pt>
                <c:pt idx="9">
                  <c:v>660</c:v>
                </c:pt>
                <c:pt idx="10">
                  <c:v>660</c:v>
                </c:pt>
                <c:pt idx="11">
                  <c:v>660</c:v>
                </c:pt>
                <c:pt idx="12">
                  <c:v>660</c:v>
                </c:pt>
                <c:pt idx="13">
                  <c:v>660</c:v>
                </c:pt>
                <c:pt idx="14">
                  <c:v>660</c:v>
                </c:pt>
                <c:pt idx="15">
                  <c:v>660</c:v>
                </c:pt>
                <c:pt idx="16">
                  <c:v>660</c:v>
                </c:pt>
                <c:pt idx="17">
                  <c:v>660</c:v>
                </c:pt>
                <c:pt idx="18">
                  <c:v>660</c:v>
                </c:pt>
                <c:pt idx="19">
                  <c:v>660</c:v>
                </c:pt>
                <c:pt idx="20">
                  <c:v>660</c:v>
                </c:pt>
                <c:pt idx="21">
                  <c:v>660</c:v>
                </c:pt>
                <c:pt idx="22">
                  <c:v>660</c:v>
                </c:pt>
                <c:pt idx="23">
                  <c:v>660</c:v>
                </c:pt>
                <c:pt idx="24">
                  <c:v>660</c:v>
                </c:pt>
                <c:pt idx="25">
                  <c:v>660</c:v>
                </c:pt>
                <c:pt idx="26">
                  <c:v>660</c:v>
                </c:pt>
                <c:pt idx="27">
                  <c:v>660</c:v>
                </c:pt>
                <c:pt idx="28">
                  <c:v>660</c:v>
                </c:pt>
                <c:pt idx="29">
                  <c:v>660</c:v>
                </c:pt>
                <c:pt idx="30">
                  <c:v>660</c:v>
                </c:pt>
                <c:pt idx="31">
                  <c:v>660</c:v>
                </c:pt>
                <c:pt idx="32">
                  <c:v>660</c:v>
                </c:pt>
                <c:pt idx="33">
                  <c:v>660</c:v>
                </c:pt>
                <c:pt idx="34">
                  <c:v>660</c:v>
                </c:pt>
                <c:pt idx="35">
                  <c:v>660</c:v>
                </c:pt>
                <c:pt idx="36">
                  <c:v>660</c:v>
                </c:pt>
                <c:pt idx="37">
                  <c:v>660</c:v>
                </c:pt>
                <c:pt idx="38">
                  <c:v>660</c:v>
                </c:pt>
                <c:pt idx="39">
                  <c:v>660</c:v>
                </c:pt>
                <c:pt idx="40">
                  <c:v>660</c:v>
                </c:pt>
                <c:pt idx="41">
                  <c:v>660</c:v>
                </c:pt>
                <c:pt idx="42">
                  <c:v>660</c:v>
                </c:pt>
                <c:pt idx="43">
                  <c:v>660</c:v>
                </c:pt>
                <c:pt idx="44">
                  <c:v>660</c:v>
                </c:pt>
                <c:pt idx="45">
                  <c:v>660</c:v>
                </c:pt>
                <c:pt idx="46">
                  <c:v>466</c:v>
                </c:pt>
                <c:pt idx="47">
                  <c:v>466</c:v>
                </c:pt>
                <c:pt idx="48">
                  <c:v>466</c:v>
                </c:pt>
                <c:pt idx="49">
                  <c:v>466</c:v>
                </c:pt>
                <c:pt idx="50">
                  <c:v>466</c:v>
                </c:pt>
                <c:pt idx="51">
                  <c:v>466</c:v>
                </c:pt>
                <c:pt idx="52">
                  <c:v>466</c:v>
                </c:pt>
                <c:pt idx="53">
                  <c:v>466</c:v>
                </c:pt>
                <c:pt idx="54">
                  <c:v>466</c:v>
                </c:pt>
                <c:pt idx="55">
                  <c:v>466</c:v>
                </c:pt>
                <c:pt idx="56">
                  <c:v>466</c:v>
                </c:pt>
                <c:pt idx="57">
                  <c:v>466</c:v>
                </c:pt>
                <c:pt idx="58">
                  <c:v>466</c:v>
                </c:pt>
                <c:pt idx="59">
                  <c:v>466</c:v>
                </c:pt>
                <c:pt idx="60">
                  <c:v>466</c:v>
                </c:pt>
                <c:pt idx="61">
                  <c:v>466</c:v>
                </c:pt>
                <c:pt idx="62">
                  <c:v>466</c:v>
                </c:pt>
                <c:pt idx="63">
                  <c:v>466</c:v>
                </c:pt>
                <c:pt idx="64">
                  <c:v>466</c:v>
                </c:pt>
                <c:pt idx="65">
                  <c:v>466</c:v>
                </c:pt>
                <c:pt idx="66">
                  <c:v>466</c:v>
                </c:pt>
                <c:pt idx="67">
                  <c:v>466</c:v>
                </c:pt>
                <c:pt idx="68">
                  <c:v>466</c:v>
                </c:pt>
                <c:pt idx="69">
                  <c:v>466</c:v>
                </c:pt>
                <c:pt idx="70">
                  <c:v>660</c:v>
                </c:pt>
                <c:pt idx="71">
                  <c:v>660</c:v>
                </c:pt>
                <c:pt idx="72">
                  <c:v>660</c:v>
                </c:pt>
                <c:pt idx="73">
                  <c:v>660</c:v>
                </c:pt>
                <c:pt idx="74">
                  <c:v>660</c:v>
                </c:pt>
                <c:pt idx="75">
                  <c:v>660</c:v>
                </c:pt>
                <c:pt idx="76">
                  <c:v>660</c:v>
                </c:pt>
                <c:pt idx="77">
                  <c:v>660</c:v>
                </c:pt>
                <c:pt idx="78">
                  <c:v>660</c:v>
                </c:pt>
                <c:pt idx="79">
                  <c:v>660</c:v>
                </c:pt>
                <c:pt idx="80">
                  <c:v>660</c:v>
                </c:pt>
                <c:pt idx="81">
                  <c:v>660</c:v>
                </c:pt>
                <c:pt idx="82">
                  <c:v>660</c:v>
                </c:pt>
                <c:pt idx="83">
                  <c:v>660</c:v>
                </c:pt>
                <c:pt idx="84">
                  <c:v>660</c:v>
                </c:pt>
                <c:pt idx="85">
                  <c:v>660</c:v>
                </c:pt>
                <c:pt idx="86">
                  <c:v>660</c:v>
                </c:pt>
                <c:pt idx="87">
                  <c:v>660</c:v>
                </c:pt>
                <c:pt idx="88">
                  <c:v>660</c:v>
                </c:pt>
                <c:pt idx="89">
                  <c:v>660</c:v>
                </c:pt>
                <c:pt idx="90">
                  <c:v>660</c:v>
                </c:pt>
                <c:pt idx="91">
                  <c:v>660</c:v>
                </c:pt>
                <c:pt idx="92">
                  <c:v>660</c:v>
                </c:pt>
                <c:pt idx="93">
                  <c:v>660</c:v>
                </c:pt>
                <c:pt idx="94">
                  <c:v>660</c:v>
                </c:pt>
                <c:pt idx="95">
                  <c:v>660</c:v>
                </c:pt>
              </c:numCache>
            </c:numRef>
          </c:val>
          <c:extLst>
            <c:ext xmlns:c16="http://schemas.microsoft.com/office/drawing/2014/chart" uri="{C3380CC4-5D6E-409C-BE32-E72D297353CC}">
              <c16:uniqueId val="{00000002-6D80-4F04-B1EA-AD22F2EA9094}"/>
            </c:ext>
          </c:extLst>
        </c:ser>
        <c:ser>
          <c:idx val="6"/>
          <c:order val="4"/>
          <c:tx>
            <c:strRef>
              <c:f>Sheet1!$Q$5</c:f>
              <c:strCache>
                <c:ptCount val="1"/>
                <c:pt idx="0">
                  <c:v>Muu</c:v>
                </c:pt>
              </c:strCache>
            </c:strRef>
          </c:tx>
          <c:spPr>
            <a:solidFill>
              <a:schemeClr val="accent1"/>
            </a:solidFill>
            <a:ln w="9525">
              <a:solidFill>
                <a:schemeClr val="tx1"/>
              </a:solidFill>
            </a:ln>
            <a:effectLst/>
          </c:spPr>
          <c:val>
            <c:numRef>
              <c:f>Sheet1!$Q$822:$Q$917</c:f>
              <c:numCache>
                <c:formatCode>General</c:formatCode>
                <c:ptCount val="96"/>
                <c:pt idx="0">
                  <c:v>104.8</c:v>
                </c:pt>
                <c:pt idx="1">
                  <c:v>104.8</c:v>
                </c:pt>
                <c:pt idx="2">
                  <c:v>104.8</c:v>
                </c:pt>
                <c:pt idx="3">
                  <c:v>104.8</c:v>
                </c:pt>
                <c:pt idx="4">
                  <c:v>104.8</c:v>
                </c:pt>
                <c:pt idx="5">
                  <c:v>104.8</c:v>
                </c:pt>
                <c:pt idx="6">
                  <c:v>104.8</c:v>
                </c:pt>
                <c:pt idx="7">
                  <c:v>104.8</c:v>
                </c:pt>
                <c:pt idx="8">
                  <c:v>104.8</c:v>
                </c:pt>
                <c:pt idx="9">
                  <c:v>104.8</c:v>
                </c:pt>
                <c:pt idx="10">
                  <c:v>104.8</c:v>
                </c:pt>
                <c:pt idx="11">
                  <c:v>104.8</c:v>
                </c:pt>
                <c:pt idx="12">
                  <c:v>104.8</c:v>
                </c:pt>
                <c:pt idx="13">
                  <c:v>104.8</c:v>
                </c:pt>
                <c:pt idx="14">
                  <c:v>104.8</c:v>
                </c:pt>
                <c:pt idx="15">
                  <c:v>104.8</c:v>
                </c:pt>
                <c:pt idx="16">
                  <c:v>104.8</c:v>
                </c:pt>
                <c:pt idx="17">
                  <c:v>104.8</c:v>
                </c:pt>
                <c:pt idx="18">
                  <c:v>104.8</c:v>
                </c:pt>
                <c:pt idx="19">
                  <c:v>104.8</c:v>
                </c:pt>
                <c:pt idx="20">
                  <c:v>104.8</c:v>
                </c:pt>
                <c:pt idx="21">
                  <c:v>104.8</c:v>
                </c:pt>
                <c:pt idx="22">
                  <c:v>104.8</c:v>
                </c:pt>
                <c:pt idx="23">
                  <c:v>104.8</c:v>
                </c:pt>
                <c:pt idx="24">
                  <c:v>104.8</c:v>
                </c:pt>
                <c:pt idx="25">
                  <c:v>104.8</c:v>
                </c:pt>
                <c:pt idx="26">
                  <c:v>104.8</c:v>
                </c:pt>
                <c:pt idx="27">
                  <c:v>104.8</c:v>
                </c:pt>
                <c:pt idx="28">
                  <c:v>104.8</c:v>
                </c:pt>
                <c:pt idx="29">
                  <c:v>194.8</c:v>
                </c:pt>
                <c:pt idx="30">
                  <c:v>217.3</c:v>
                </c:pt>
                <c:pt idx="31">
                  <c:v>239.8</c:v>
                </c:pt>
                <c:pt idx="32">
                  <c:v>239.8</c:v>
                </c:pt>
                <c:pt idx="33">
                  <c:v>239.8</c:v>
                </c:pt>
                <c:pt idx="34">
                  <c:v>239.8</c:v>
                </c:pt>
                <c:pt idx="35">
                  <c:v>239.8</c:v>
                </c:pt>
                <c:pt idx="36">
                  <c:v>239.8</c:v>
                </c:pt>
                <c:pt idx="37">
                  <c:v>239.8</c:v>
                </c:pt>
                <c:pt idx="38">
                  <c:v>239.8</c:v>
                </c:pt>
                <c:pt idx="39">
                  <c:v>217.3</c:v>
                </c:pt>
                <c:pt idx="40">
                  <c:v>239.8</c:v>
                </c:pt>
                <c:pt idx="41">
                  <c:v>239.8</c:v>
                </c:pt>
                <c:pt idx="42">
                  <c:v>239.8</c:v>
                </c:pt>
                <c:pt idx="43">
                  <c:v>217.3</c:v>
                </c:pt>
                <c:pt idx="44">
                  <c:v>217.3</c:v>
                </c:pt>
                <c:pt idx="45">
                  <c:v>217.3</c:v>
                </c:pt>
                <c:pt idx="46">
                  <c:v>185.5</c:v>
                </c:pt>
                <c:pt idx="47">
                  <c:v>104.8</c:v>
                </c:pt>
                <c:pt idx="48">
                  <c:v>194.8</c:v>
                </c:pt>
                <c:pt idx="49">
                  <c:v>194.8</c:v>
                </c:pt>
                <c:pt idx="50">
                  <c:v>194.8</c:v>
                </c:pt>
                <c:pt idx="51">
                  <c:v>194.8</c:v>
                </c:pt>
                <c:pt idx="52">
                  <c:v>194.8</c:v>
                </c:pt>
                <c:pt idx="53">
                  <c:v>217.3</c:v>
                </c:pt>
                <c:pt idx="54">
                  <c:v>217.3</c:v>
                </c:pt>
                <c:pt idx="55">
                  <c:v>239.8</c:v>
                </c:pt>
                <c:pt idx="56">
                  <c:v>239.8</c:v>
                </c:pt>
                <c:pt idx="57">
                  <c:v>239.8</c:v>
                </c:pt>
                <c:pt idx="58">
                  <c:v>239.8</c:v>
                </c:pt>
                <c:pt idx="59">
                  <c:v>239.8</c:v>
                </c:pt>
                <c:pt idx="60">
                  <c:v>239.8</c:v>
                </c:pt>
                <c:pt idx="61">
                  <c:v>239.8</c:v>
                </c:pt>
                <c:pt idx="62">
                  <c:v>239.8</c:v>
                </c:pt>
                <c:pt idx="63">
                  <c:v>239.8</c:v>
                </c:pt>
                <c:pt idx="64">
                  <c:v>239.8</c:v>
                </c:pt>
                <c:pt idx="65">
                  <c:v>239.8</c:v>
                </c:pt>
                <c:pt idx="66">
                  <c:v>239.8</c:v>
                </c:pt>
                <c:pt idx="67">
                  <c:v>217.3</c:v>
                </c:pt>
                <c:pt idx="68">
                  <c:v>217.3</c:v>
                </c:pt>
                <c:pt idx="69">
                  <c:v>217.3</c:v>
                </c:pt>
                <c:pt idx="70">
                  <c:v>191.5</c:v>
                </c:pt>
                <c:pt idx="71">
                  <c:v>104.8</c:v>
                </c:pt>
                <c:pt idx="72">
                  <c:v>164.9</c:v>
                </c:pt>
                <c:pt idx="73">
                  <c:v>104.8</c:v>
                </c:pt>
                <c:pt idx="74">
                  <c:v>104.8</c:v>
                </c:pt>
                <c:pt idx="75">
                  <c:v>183.5</c:v>
                </c:pt>
                <c:pt idx="76">
                  <c:v>194.8</c:v>
                </c:pt>
                <c:pt idx="77">
                  <c:v>217.3</c:v>
                </c:pt>
                <c:pt idx="78">
                  <c:v>217.3</c:v>
                </c:pt>
                <c:pt idx="79">
                  <c:v>239.8</c:v>
                </c:pt>
                <c:pt idx="80">
                  <c:v>239.8</c:v>
                </c:pt>
                <c:pt idx="81">
                  <c:v>239.8</c:v>
                </c:pt>
                <c:pt idx="82">
                  <c:v>239.8</c:v>
                </c:pt>
                <c:pt idx="83">
                  <c:v>239.8</c:v>
                </c:pt>
                <c:pt idx="84">
                  <c:v>239.8</c:v>
                </c:pt>
                <c:pt idx="85">
                  <c:v>239.8</c:v>
                </c:pt>
                <c:pt idx="86">
                  <c:v>239.8</c:v>
                </c:pt>
                <c:pt idx="87">
                  <c:v>217.3</c:v>
                </c:pt>
                <c:pt idx="88">
                  <c:v>239.8</c:v>
                </c:pt>
                <c:pt idx="89">
                  <c:v>239.8</c:v>
                </c:pt>
                <c:pt idx="90">
                  <c:v>239.8</c:v>
                </c:pt>
                <c:pt idx="91">
                  <c:v>217.3</c:v>
                </c:pt>
                <c:pt idx="92">
                  <c:v>217.3</c:v>
                </c:pt>
                <c:pt idx="93">
                  <c:v>217.3</c:v>
                </c:pt>
                <c:pt idx="94">
                  <c:v>194.8</c:v>
                </c:pt>
                <c:pt idx="95">
                  <c:v>194.8</c:v>
                </c:pt>
              </c:numCache>
            </c:numRef>
          </c:val>
          <c:extLst>
            <c:ext xmlns:c16="http://schemas.microsoft.com/office/drawing/2014/chart" uri="{C3380CC4-5D6E-409C-BE32-E72D297353CC}">
              <c16:uniqueId val="{00000003-6D80-4F04-B1EA-AD22F2EA9094}"/>
            </c:ext>
          </c:extLst>
        </c:ser>
        <c:ser>
          <c:idx val="2"/>
          <c:order val="5"/>
          <c:tx>
            <c:strRef>
              <c:f>Sheet1!$J$5</c:f>
              <c:strCache>
                <c:ptCount val="1"/>
                <c:pt idx="0">
                  <c:v>Import</c:v>
                </c:pt>
              </c:strCache>
            </c:strRef>
          </c:tx>
          <c:spPr>
            <a:solidFill>
              <a:schemeClr val="accent4"/>
            </a:solidFill>
            <a:ln>
              <a:solidFill>
                <a:schemeClr val="tx1"/>
              </a:solidFill>
            </a:ln>
            <a:effectLst/>
          </c:spPr>
          <c:val>
            <c:numRef>
              <c:f>Sheet1!$J$822:$J$917</c:f>
              <c:numCache>
                <c:formatCode>General</c:formatCode>
                <c:ptCount val="96"/>
                <c:pt idx="0">
                  <c:v>0</c:v>
                </c:pt>
                <c:pt idx="1">
                  <c:v>0</c:v>
                </c:pt>
                <c:pt idx="2">
                  <c:v>0</c:v>
                </c:pt>
                <c:pt idx="3">
                  <c:v>0</c:v>
                </c:pt>
                <c:pt idx="4">
                  <c:v>0</c:v>
                </c:pt>
                <c:pt idx="5">
                  <c:v>0</c:v>
                </c:pt>
                <c:pt idx="6">
                  <c:v>0</c:v>
                </c:pt>
                <c:pt idx="7">
                  <c:v>0</c:v>
                </c:pt>
                <c:pt idx="8">
                  <c:v>0</c:v>
                </c:pt>
                <c:pt idx="9">
                  <c:v>0</c:v>
                </c:pt>
                <c:pt idx="10">
                  <c:v>0</c:v>
                </c:pt>
                <c:pt idx="11">
                  <c:v>69.599999999999994</c:v>
                </c:pt>
                <c:pt idx="12">
                  <c:v>126.7</c:v>
                </c:pt>
                <c:pt idx="13">
                  <c:v>174</c:v>
                </c:pt>
                <c:pt idx="14">
                  <c:v>220.2</c:v>
                </c:pt>
                <c:pt idx="15">
                  <c:v>227.10000000000002</c:v>
                </c:pt>
                <c:pt idx="16">
                  <c:v>210.4</c:v>
                </c:pt>
                <c:pt idx="17">
                  <c:v>204.79999999999998</c:v>
                </c:pt>
                <c:pt idx="18">
                  <c:v>175.20000000000002</c:v>
                </c:pt>
                <c:pt idx="19">
                  <c:v>135.5</c:v>
                </c:pt>
                <c:pt idx="20">
                  <c:v>89.300000000000011</c:v>
                </c:pt>
                <c:pt idx="21">
                  <c:v>91.4</c:v>
                </c:pt>
                <c:pt idx="22">
                  <c:v>49.7</c:v>
                </c:pt>
                <c:pt idx="23">
                  <c:v>32.5</c:v>
                </c:pt>
                <c:pt idx="24">
                  <c:v>60.5</c:v>
                </c:pt>
                <c:pt idx="25">
                  <c:v>56.2</c:v>
                </c:pt>
                <c:pt idx="26">
                  <c:v>64.2</c:v>
                </c:pt>
                <c:pt idx="27">
                  <c:v>84.700000000000017</c:v>
                </c:pt>
                <c:pt idx="28">
                  <c:v>205.20000000000002</c:v>
                </c:pt>
                <c:pt idx="29">
                  <c:v>295.60000000000002</c:v>
                </c:pt>
                <c:pt idx="30">
                  <c:v>395.9</c:v>
                </c:pt>
                <c:pt idx="31">
                  <c:v>402.6</c:v>
                </c:pt>
                <c:pt idx="32">
                  <c:v>398.4</c:v>
                </c:pt>
                <c:pt idx="33">
                  <c:v>397.9</c:v>
                </c:pt>
                <c:pt idx="34">
                  <c:v>376.7</c:v>
                </c:pt>
                <c:pt idx="35">
                  <c:v>426</c:v>
                </c:pt>
                <c:pt idx="36">
                  <c:v>445.6</c:v>
                </c:pt>
                <c:pt idx="37">
                  <c:v>466.2</c:v>
                </c:pt>
                <c:pt idx="38">
                  <c:v>477.6</c:v>
                </c:pt>
                <c:pt idx="39">
                  <c:v>509.8</c:v>
                </c:pt>
                <c:pt idx="40">
                  <c:v>490.6</c:v>
                </c:pt>
                <c:pt idx="41">
                  <c:v>471.2</c:v>
                </c:pt>
                <c:pt idx="42">
                  <c:v>428.9</c:v>
                </c:pt>
                <c:pt idx="43">
                  <c:v>387.6</c:v>
                </c:pt>
                <c:pt idx="44">
                  <c:v>298.2</c:v>
                </c:pt>
                <c:pt idx="45">
                  <c:v>256.5</c:v>
                </c:pt>
                <c:pt idx="46">
                  <c:v>404.6</c:v>
                </c:pt>
                <c:pt idx="47">
                  <c:v>438.2</c:v>
                </c:pt>
                <c:pt idx="48">
                  <c:v>359.2</c:v>
                </c:pt>
                <c:pt idx="49">
                  <c:v>342.7</c:v>
                </c:pt>
                <c:pt idx="50">
                  <c:v>335.5</c:v>
                </c:pt>
                <c:pt idx="51">
                  <c:v>355.9</c:v>
                </c:pt>
                <c:pt idx="52">
                  <c:v>357.9</c:v>
                </c:pt>
                <c:pt idx="53">
                  <c:v>350</c:v>
                </c:pt>
                <c:pt idx="54">
                  <c:v>350</c:v>
                </c:pt>
                <c:pt idx="55">
                  <c:v>350</c:v>
                </c:pt>
                <c:pt idx="56">
                  <c:v>660.1</c:v>
                </c:pt>
                <c:pt idx="57">
                  <c:v>601.29999999999995</c:v>
                </c:pt>
                <c:pt idx="58">
                  <c:v>556.5</c:v>
                </c:pt>
                <c:pt idx="59">
                  <c:v>605.79999999999995</c:v>
                </c:pt>
                <c:pt idx="60">
                  <c:v>630.29999999999995</c:v>
                </c:pt>
                <c:pt idx="61">
                  <c:v>671.8</c:v>
                </c:pt>
                <c:pt idx="62">
                  <c:v>707.5</c:v>
                </c:pt>
                <c:pt idx="63">
                  <c:v>706.1</c:v>
                </c:pt>
                <c:pt idx="64">
                  <c:v>539.6</c:v>
                </c:pt>
                <c:pt idx="65">
                  <c:v>350</c:v>
                </c:pt>
                <c:pt idx="66">
                  <c:v>350</c:v>
                </c:pt>
                <c:pt idx="67">
                  <c:v>350</c:v>
                </c:pt>
                <c:pt idx="68">
                  <c:v>355.7</c:v>
                </c:pt>
                <c:pt idx="69">
                  <c:v>432.8</c:v>
                </c:pt>
                <c:pt idx="70">
                  <c:v>181.7</c:v>
                </c:pt>
                <c:pt idx="71">
                  <c:v>225.50000000000003</c:v>
                </c:pt>
                <c:pt idx="72">
                  <c:v>180.1</c:v>
                </c:pt>
                <c:pt idx="73">
                  <c:v>207.2</c:v>
                </c:pt>
                <c:pt idx="74">
                  <c:v>189.70000000000002</c:v>
                </c:pt>
                <c:pt idx="75">
                  <c:v>160.6</c:v>
                </c:pt>
                <c:pt idx="76">
                  <c:v>259.5</c:v>
                </c:pt>
                <c:pt idx="77">
                  <c:v>350</c:v>
                </c:pt>
                <c:pt idx="78">
                  <c:v>350</c:v>
                </c:pt>
                <c:pt idx="79">
                  <c:v>350</c:v>
                </c:pt>
                <c:pt idx="80">
                  <c:v>350</c:v>
                </c:pt>
                <c:pt idx="81">
                  <c:v>350</c:v>
                </c:pt>
                <c:pt idx="82">
                  <c:v>350</c:v>
                </c:pt>
                <c:pt idx="83">
                  <c:v>350</c:v>
                </c:pt>
                <c:pt idx="84">
                  <c:v>350</c:v>
                </c:pt>
                <c:pt idx="85">
                  <c:v>350</c:v>
                </c:pt>
                <c:pt idx="86">
                  <c:v>350</c:v>
                </c:pt>
                <c:pt idx="87">
                  <c:v>350</c:v>
                </c:pt>
                <c:pt idx="88">
                  <c:v>350</c:v>
                </c:pt>
                <c:pt idx="89">
                  <c:v>350</c:v>
                </c:pt>
                <c:pt idx="90">
                  <c:v>340.4</c:v>
                </c:pt>
                <c:pt idx="91">
                  <c:v>297.2</c:v>
                </c:pt>
                <c:pt idx="92">
                  <c:v>208.4</c:v>
                </c:pt>
                <c:pt idx="93">
                  <c:v>195.7</c:v>
                </c:pt>
                <c:pt idx="94">
                  <c:v>174</c:v>
                </c:pt>
                <c:pt idx="95">
                  <c:v>130.6</c:v>
                </c:pt>
              </c:numCache>
            </c:numRef>
          </c:val>
          <c:extLst>
            <c:ext xmlns:c16="http://schemas.microsoft.com/office/drawing/2014/chart" uri="{C3380CC4-5D6E-409C-BE32-E72D297353CC}">
              <c16:uniqueId val="{00000004-6D80-4F04-B1EA-AD22F2EA9094}"/>
            </c:ext>
          </c:extLst>
        </c:ser>
        <c:ser>
          <c:idx val="5"/>
          <c:order val="6"/>
          <c:tx>
            <c:strRef>
              <c:f>Sheet1!$P$5</c:f>
              <c:strCache>
                <c:ptCount val="1"/>
                <c:pt idx="0">
                  <c:v>Tuul+Päike</c:v>
                </c:pt>
              </c:strCache>
            </c:strRef>
          </c:tx>
          <c:spPr>
            <a:solidFill>
              <a:srgbClr val="92D050"/>
            </a:solidFill>
            <a:ln w="6350">
              <a:solidFill>
                <a:schemeClr val="tx1"/>
              </a:solidFill>
            </a:ln>
            <a:effectLst/>
          </c:spPr>
          <c:val>
            <c:numRef>
              <c:f>Sheet1!$P$822:$P$917</c:f>
              <c:numCache>
                <c:formatCode>General</c:formatCode>
                <c:ptCount val="96"/>
                <c:pt idx="0">
                  <c:v>404.6</c:v>
                </c:pt>
                <c:pt idx="1">
                  <c:v>389.29999999999995</c:v>
                </c:pt>
                <c:pt idx="2">
                  <c:v>389</c:v>
                </c:pt>
                <c:pt idx="3">
                  <c:v>388.6</c:v>
                </c:pt>
                <c:pt idx="4">
                  <c:v>382</c:v>
                </c:pt>
                <c:pt idx="5">
                  <c:v>376.3</c:v>
                </c:pt>
                <c:pt idx="6">
                  <c:v>373.2</c:v>
                </c:pt>
                <c:pt idx="7">
                  <c:v>409.8</c:v>
                </c:pt>
                <c:pt idx="8">
                  <c:v>444.09999999999997</c:v>
                </c:pt>
                <c:pt idx="9">
                  <c:v>447.20000000000005</c:v>
                </c:pt>
                <c:pt idx="10">
                  <c:v>430.20000000000005</c:v>
                </c:pt>
                <c:pt idx="11">
                  <c:v>373.1</c:v>
                </c:pt>
                <c:pt idx="12">
                  <c:v>324.5</c:v>
                </c:pt>
                <c:pt idx="13">
                  <c:v>282.59999999999997</c:v>
                </c:pt>
                <c:pt idx="14">
                  <c:v>259.70000000000005</c:v>
                </c:pt>
                <c:pt idx="15">
                  <c:v>295.7</c:v>
                </c:pt>
                <c:pt idx="16">
                  <c:v>338.8</c:v>
                </c:pt>
                <c:pt idx="17">
                  <c:v>341.1</c:v>
                </c:pt>
                <c:pt idx="18">
                  <c:v>331.7</c:v>
                </c:pt>
                <c:pt idx="19">
                  <c:v>310</c:v>
                </c:pt>
                <c:pt idx="20">
                  <c:v>289.5</c:v>
                </c:pt>
                <c:pt idx="21">
                  <c:v>270.59999999999997</c:v>
                </c:pt>
                <c:pt idx="22">
                  <c:v>258.8</c:v>
                </c:pt>
                <c:pt idx="23">
                  <c:v>239.10000000000002</c:v>
                </c:pt>
                <c:pt idx="24">
                  <c:v>214.6</c:v>
                </c:pt>
                <c:pt idx="25">
                  <c:v>200.10000000000002</c:v>
                </c:pt>
                <c:pt idx="26">
                  <c:v>180.6</c:v>
                </c:pt>
                <c:pt idx="27">
                  <c:v>164</c:v>
                </c:pt>
                <c:pt idx="28">
                  <c:v>142.19999999999999</c:v>
                </c:pt>
                <c:pt idx="29">
                  <c:v>125.8</c:v>
                </c:pt>
                <c:pt idx="30">
                  <c:v>133.4</c:v>
                </c:pt>
                <c:pt idx="31">
                  <c:v>148.19999999999999</c:v>
                </c:pt>
                <c:pt idx="32">
                  <c:v>145.6</c:v>
                </c:pt>
                <c:pt idx="33">
                  <c:v>131.4</c:v>
                </c:pt>
                <c:pt idx="34">
                  <c:v>118.9</c:v>
                </c:pt>
                <c:pt idx="35">
                  <c:v>105.5</c:v>
                </c:pt>
                <c:pt idx="36">
                  <c:v>81.400000000000006</c:v>
                </c:pt>
                <c:pt idx="37">
                  <c:v>57.4</c:v>
                </c:pt>
                <c:pt idx="38">
                  <c:v>40.5</c:v>
                </c:pt>
                <c:pt idx="39">
                  <c:v>35.799999999999997</c:v>
                </c:pt>
                <c:pt idx="40">
                  <c:v>37.199999999999996</c:v>
                </c:pt>
                <c:pt idx="41">
                  <c:v>40.199999999999996</c:v>
                </c:pt>
                <c:pt idx="42">
                  <c:v>45.5</c:v>
                </c:pt>
                <c:pt idx="43">
                  <c:v>55.3</c:v>
                </c:pt>
                <c:pt idx="44">
                  <c:v>61.6</c:v>
                </c:pt>
                <c:pt idx="45">
                  <c:v>57.3</c:v>
                </c:pt>
                <c:pt idx="46">
                  <c:v>58.900000000000006</c:v>
                </c:pt>
                <c:pt idx="47">
                  <c:v>63.800000000000004</c:v>
                </c:pt>
                <c:pt idx="48">
                  <c:v>67.8</c:v>
                </c:pt>
                <c:pt idx="49">
                  <c:v>69.2</c:v>
                </c:pt>
                <c:pt idx="50">
                  <c:v>69.400000000000006</c:v>
                </c:pt>
                <c:pt idx="51">
                  <c:v>60.900000000000006</c:v>
                </c:pt>
                <c:pt idx="52">
                  <c:v>53.5</c:v>
                </c:pt>
                <c:pt idx="53">
                  <c:v>47.9</c:v>
                </c:pt>
                <c:pt idx="54">
                  <c:v>45.800000000000004</c:v>
                </c:pt>
                <c:pt idx="55">
                  <c:v>66.400000000000006</c:v>
                </c:pt>
                <c:pt idx="56">
                  <c:v>115.80000000000001</c:v>
                </c:pt>
                <c:pt idx="57">
                  <c:v>155.69999999999999</c:v>
                </c:pt>
                <c:pt idx="58">
                  <c:v>167.1</c:v>
                </c:pt>
                <c:pt idx="59">
                  <c:v>152.6</c:v>
                </c:pt>
                <c:pt idx="60">
                  <c:v>122.6</c:v>
                </c:pt>
                <c:pt idx="61">
                  <c:v>76.3</c:v>
                </c:pt>
                <c:pt idx="62">
                  <c:v>33.4</c:v>
                </c:pt>
                <c:pt idx="63">
                  <c:v>40.700000000000003</c:v>
                </c:pt>
                <c:pt idx="64">
                  <c:v>62.3</c:v>
                </c:pt>
                <c:pt idx="65">
                  <c:v>87.3</c:v>
                </c:pt>
                <c:pt idx="66">
                  <c:v>100.7</c:v>
                </c:pt>
                <c:pt idx="67">
                  <c:v>103.1</c:v>
                </c:pt>
                <c:pt idx="68">
                  <c:v>104.6</c:v>
                </c:pt>
                <c:pt idx="69">
                  <c:v>106.8</c:v>
                </c:pt>
                <c:pt idx="70">
                  <c:v>120.2</c:v>
                </c:pt>
                <c:pt idx="71">
                  <c:v>126.10000000000001</c:v>
                </c:pt>
                <c:pt idx="72">
                  <c:v>134.1</c:v>
                </c:pt>
                <c:pt idx="73">
                  <c:v>151.39999999999998</c:v>
                </c:pt>
                <c:pt idx="74">
                  <c:v>163.69999999999999</c:v>
                </c:pt>
                <c:pt idx="75">
                  <c:v>136.20000000000002</c:v>
                </c:pt>
                <c:pt idx="76">
                  <c:v>132.6</c:v>
                </c:pt>
                <c:pt idx="77">
                  <c:v>144.30000000000001</c:v>
                </c:pt>
                <c:pt idx="78">
                  <c:v>128.69999999999999</c:v>
                </c:pt>
                <c:pt idx="79">
                  <c:v>141.1</c:v>
                </c:pt>
                <c:pt idx="80">
                  <c:v>154.5</c:v>
                </c:pt>
                <c:pt idx="81">
                  <c:v>166.2</c:v>
                </c:pt>
                <c:pt idx="82">
                  <c:v>161.10000000000002</c:v>
                </c:pt>
                <c:pt idx="83">
                  <c:v>164.5</c:v>
                </c:pt>
                <c:pt idx="84">
                  <c:v>158.30000000000001</c:v>
                </c:pt>
                <c:pt idx="85">
                  <c:v>141.1</c:v>
                </c:pt>
                <c:pt idx="86">
                  <c:v>129.79999999999998</c:v>
                </c:pt>
                <c:pt idx="87">
                  <c:v>152.1</c:v>
                </c:pt>
                <c:pt idx="88">
                  <c:v>183.6</c:v>
                </c:pt>
                <c:pt idx="89">
                  <c:v>192.8</c:v>
                </c:pt>
                <c:pt idx="90">
                  <c:v>211.70000000000002</c:v>
                </c:pt>
                <c:pt idx="91">
                  <c:v>218.1</c:v>
                </c:pt>
                <c:pt idx="92">
                  <c:v>223.60000000000002</c:v>
                </c:pt>
                <c:pt idx="93">
                  <c:v>197.5</c:v>
                </c:pt>
                <c:pt idx="94">
                  <c:v>175.3</c:v>
                </c:pt>
                <c:pt idx="95">
                  <c:v>181.70000000000002</c:v>
                </c:pt>
              </c:numCache>
            </c:numRef>
          </c:val>
          <c:extLst>
            <c:ext xmlns:c16="http://schemas.microsoft.com/office/drawing/2014/chart" uri="{C3380CC4-5D6E-409C-BE32-E72D297353CC}">
              <c16:uniqueId val="{00000005-6D80-4F04-B1EA-AD22F2EA9094}"/>
            </c:ext>
          </c:extLst>
        </c:ser>
        <c:dLbls>
          <c:showLegendKey val="0"/>
          <c:showVal val="0"/>
          <c:showCatName val="0"/>
          <c:showSerName val="0"/>
          <c:showPercent val="0"/>
          <c:showBubbleSize val="0"/>
        </c:dLbls>
        <c:axId val="530079496"/>
        <c:axId val="530077528"/>
      </c:areaChart>
      <c:lineChart>
        <c:grouping val="standard"/>
        <c:varyColors val="0"/>
        <c:ser>
          <c:idx val="0"/>
          <c:order val="0"/>
          <c:tx>
            <c:strRef>
              <c:f>Sheet1!$C$5</c:f>
              <c:strCache>
                <c:ptCount val="1"/>
                <c:pt idx="0">
                  <c:v>Tarbimine</c:v>
                </c:pt>
              </c:strCache>
            </c:strRef>
          </c:tx>
          <c:spPr>
            <a:ln w="28575" cap="rnd">
              <a:solidFill>
                <a:srgbClr val="FF0000"/>
              </a:solidFill>
              <a:round/>
            </a:ln>
            <a:effectLst/>
          </c:spPr>
          <c:marker>
            <c:symbol val="none"/>
          </c:marker>
          <c:val>
            <c:numRef>
              <c:f>Sheet1!$C$822:$C$917</c:f>
              <c:numCache>
                <c:formatCode>General</c:formatCode>
                <c:ptCount val="96"/>
                <c:pt idx="0">
                  <c:v>1134.7</c:v>
                </c:pt>
                <c:pt idx="1">
                  <c:v>1118.5</c:v>
                </c:pt>
                <c:pt idx="2">
                  <c:v>1105.4000000000001</c:v>
                </c:pt>
                <c:pt idx="3">
                  <c:v>1090.2</c:v>
                </c:pt>
                <c:pt idx="4">
                  <c:v>1091.2</c:v>
                </c:pt>
                <c:pt idx="5">
                  <c:v>1136.3</c:v>
                </c:pt>
                <c:pt idx="6">
                  <c:v>1203.8</c:v>
                </c:pt>
                <c:pt idx="7">
                  <c:v>1261.3</c:v>
                </c:pt>
                <c:pt idx="8">
                  <c:v>1294.2</c:v>
                </c:pt>
                <c:pt idx="9">
                  <c:v>1306.3</c:v>
                </c:pt>
                <c:pt idx="10">
                  <c:v>1303.0999999999999</c:v>
                </c:pt>
                <c:pt idx="11">
                  <c:v>1320.6</c:v>
                </c:pt>
                <c:pt idx="12">
                  <c:v>1329</c:v>
                </c:pt>
                <c:pt idx="13">
                  <c:v>1334.4</c:v>
                </c:pt>
                <c:pt idx="14">
                  <c:v>1357.7</c:v>
                </c:pt>
                <c:pt idx="15">
                  <c:v>1400.6</c:v>
                </c:pt>
                <c:pt idx="16">
                  <c:v>1427.1</c:v>
                </c:pt>
                <c:pt idx="17">
                  <c:v>1423.8</c:v>
                </c:pt>
                <c:pt idx="18">
                  <c:v>1384.6</c:v>
                </c:pt>
                <c:pt idx="19">
                  <c:v>1323.4</c:v>
                </c:pt>
                <c:pt idx="20">
                  <c:v>1256.5999999999999</c:v>
                </c:pt>
                <c:pt idx="21">
                  <c:v>1239.9000000000001</c:v>
                </c:pt>
                <c:pt idx="22">
                  <c:v>1186.3</c:v>
                </c:pt>
                <c:pt idx="23">
                  <c:v>1149.5</c:v>
                </c:pt>
                <c:pt idx="24">
                  <c:v>1152.9000000000001</c:v>
                </c:pt>
                <c:pt idx="25">
                  <c:v>1134.0999999999999</c:v>
                </c:pt>
                <c:pt idx="26">
                  <c:v>1122.7</c:v>
                </c:pt>
                <c:pt idx="27">
                  <c:v>1126.5999999999999</c:v>
                </c:pt>
                <c:pt idx="28">
                  <c:v>1225.3</c:v>
                </c:pt>
                <c:pt idx="29">
                  <c:v>1389.3</c:v>
                </c:pt>
                <c:pt idx="30">
                  <c:v>1519.5</c:v>
                </c:pt>
                <c:pt idx="31">
                  <c:v>1563.6</c:v>
                </c:pt>
                <c:pt idx="32">
                  <c:v>1556.9</c:v>
                </c:pt>
                <c:pt idx="33">
                  <c:v>1542.1</c:v>
                </c:pt>
                <c:pt idx="34">
                  <c:v>1508.4</c:v>
                </c:pt>
                <c:pt idx="35">
                  <c:v>1544.3</c:v>
                </c:pt>
                <c:pt idx="36">
                  <c:v>1539.8</c:v>
                </c:pt>
                <c:pt idx="37">
                  <c:v>1536.4</c:v>
                </c:pt>
                <c:pt idx="38">
                  <c:v>1530.9</c:v>
                </c:pt>
                <c:pt idx="39">
                  <c:v>1535.9</c:v>
                </c:pt>
                <c:pt idx="40">
                  <c:v>1540.6</c:v>
                </c:pt>
                <c:pt idx="41">
                  <c:v>1524.2</c:v>
                </c:pt>
                <c:pt idx="42">
                  <c:v>1487.3</c:v>
                </c:pt>
                <c:pt idx="43">
                  <c:v>1433.2</c:v>
                </c:pt>
                <c:pt idx="44">
                  <c:v>1350.1</c:v>
                </c:pt>
                <c:pt idx="45">
                  <c:v>1304.2</c:v>
                </c:pt>
                <c:pt idx="46">
                  <c:v>1228</c:v>
                </c:pt>
                <c:pt idx="47">
                  <c:v>1185.7</c:v>
                </c:pt>
                <c:pt idx="48">
                  <c:v>1200.8</c:v>
                </c:pt>
                <c:pt idx="49">
                  <c:v>1185.7</c:v>
                </c:pt>
                <c:pt idx="50">
                  <c:v>1178.7</c:v>
                </c:pt>
                <c:pt idx="51">
                  <c:v>1190.5999999999999</c:v>
                </c:pt>
                <c:pt idx="52">
                  <c:v>1294.7</c:v>
                </c:pt>
                <c:pt idx="53">
                  <c:v>1455.5</c:v>
                </c:pt>
                <c:pt idx="54">
                  <c:v>1574.8</c:v>
                </c:pt>
                <c:pt idx="55">
                  <c:v>1607.9</c:v>
                </c:pt>
                <c:pt idx="56">
                  <c:v>1594.7</c:v>
                </c:pt>
                <c:pt idx="57">
                  <c:v>1575.7</c:v>
                </c:pt>
                <c:pt idx="58">
                  <c:v>1542.4</c:v>
                </c:pt>
                <c:pt idx="59">
                  <c:v>1577.1</c:v>
                </c:pt>
                <c:pt idx="60">
                  <c:v>1571.8</c:v>
                </c:pt>
                <c:pt idx="61">
                  <c:v>1567</c:v>
                </c:pt>
                <c:pt idx="62">
                  <c:v>1559.6</c:v>
                </c:pt>
                <c:pt idx="63">
                  <c:v>1565.6</c:v>
                </c:pt>
                <c:pt idx="64">
                  <c:v>1573.4</c:v>
                </c:pt>
                <c:pt idx="65">
                  <c:v>1558.7</c:v>
                </c:pt>
                <c:pt idx="66">
                  <c:v>1520.9</c:v>
                </c:pt>
                <c:pt idx="67">
                  <c:v>1462.6</c:v>
                </c:pt>
                <c:pt idx="68">
                  <c:v>1377.4</c:v>
                </c:pt>
                <c:pt idx="69">
                  <c:v>1335.9</c:v>
                </c:pt>
                <c:pt idx="70">
                  <c:v>1266.5</c:v>
                </c:pt>
                <c:pt idx="71">
                  <c:v>1229.4000000000001</c:v>
                </c:pt>
                <c:pt idx="72">
                  <c:v>1252.0999999999999</c:v>
                </c:pt>
                <c:pt idx="73">
                  <c:v>1236.4000000000001</c:v>
                </c:pt>
                <c:pt idx="74">
                  <c:v>1231.2</c:v>
                </c:pt>
                <c:pt idx="75">
                  <c:v>1253.4000000000001</c:v>
                </c:pt>
                <c:pt idx="76">
                  <c:v>1359.9</c:v>
                </c:pt>
                <c:pt idx="77">
                  <c:v>1515.3</c:v>
                </c:pt>
                <c:pt idx="78">
                  <c:v>1626.2</c:v>
                </c:pt>
                <c:pt idx="79">
                  <c:v>1657.2</c:v>
                </c:pt>
                <c:pt idx="80">
                  <c:v>1648.1</c:v>
                </c:pt>
                <c:pt idx="81">
                  <c:v>1631.8</c:v>
                </c:pt>
                <c:pt idx="82">
                  <c:v>1607.1</c:v>
                </c:pt>
                <c:pt idx="83">
                  <c:v>1638.6</c:v>
                </c:pt>
                <c:pt idx="84">
                  <c:v>1634.4</c:v>
                </c:pt>
                <c:pt idx="85">
                  <c:v>1627.7</c:v>
                </c:pt>
                <c:pt idx="86">
                  <c:v>1621.1</c:v>
                </c:pt>
                <c:pt idx="87">
                  <c:v>1625.5</c:v>
                </c:pt>
                <c:pt idx="88">
                  <c:v>1625.7</c:v>
                </c:pt>
                <c:pt idx="89">
                  <c:v>1604.8</c:v>
                </c:pt>
                <c:pt idx="90">
                  <c:v>1565</c:v>
                </c:pt>
                <c:pt idx="91">
                  <c:v>1505.7</c:v>
                </c:pt>
                <c:pt idx="92">
                  <c:v>1422.3</c:v>
                </c:pt>
                <c:pt idx="93">
                  <c:v>1383.6</c:v>
                </c:pt>
                <c:pt idx="94">
                  <c:v>1317.1</c:v>
                </c:pt>
                <c:pt idx="95">
                  <c:v>1280.0999999999999</c:v>
                </c:pt>
              </c:numCache>
            </c:numRef>
          </c:val>
          <c:smooth val="0"/>
          <c:extLst>
            <c:ext xmlns:c16="http://schemas.microsoft.com/office/drawing/2014/chart" uri="{C3380CC4-5D6E-409C-BE32-E72D297353CC}">
              <c16:uniqueId val="{00000006-6D80-4F04-B1EA-AD22F2EA9094}"/>
            </c:ext>
          </c:extLst>
        </c:ser>
        <c:dLbls>
          <c:showLegendKey val="0"/>
          <c:showVal val="0"/>
          <c:showCatName val="0"/>
          <c:showSerName val="0"/>
          <c:showPercent val="0"/>
          <c:showBubbleSize val="0"/>
        </c:dLbls>
        <c:marker val="1"/>
        <c:smooth val="0"/>
        <c:axId val="530079496"/>
        <c:axId val="530077528"/>
      </c:lineChart>
      <c:valAx>
        <c:axId val="533090136"/>
        <c:scaling>
          <c:orientation val="minMax"/>
          <c:max val="1900"/>
          <c:min val="0"/>
        </c:scaling>
        <c:delete val="1"/>
        <c:axPos val="r"/>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533090464"/>
        <c:crosses val="max"/>
        <c:crossBetween val="between"/>
      </c:valAx>
      <c:catAx>
        <c:axId val="533090464"/>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t-EE"/>
                  <a:t>h</a:t>
                </a:r>
                <a:endParaRPr lang="en-US"/>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t-EE"/>
          </a:p>
        </c:txPr>
        <c:crossAx val="533090136"/>
        <c:crosses val="autoZero"/>
        <c:auto val="1"/>
        <c:lblAlgn val="ctr"/>
        <c:lblOffset val="100"/>
        <c:noMultiLvlLbl val="0"/>
      </c:catAx>
      <c:valAx>
        <c:axId val="530077528"/>
        <c:scaling>
          <c:orientation val="minMax"/>
          <c:max val="1900"/>
          <c:min val="0"/>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t-EE"/>
                  <a:t>MW</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t-EE"/>
          </a:p>
        </c:txPr>
        <c:crossAx val="530079496"/>
        <c:crosses val="autoZero"/>
        <c:crossBetween val="between"/>
      </c:valAx>
      <c:catAx>
        <c:axId val="530079496"/>
        <c:scaling>
          <c:orientation val="minMax"/>
        </c:scaling>
        <c:delete val="1"/>
        <c:axPos val="b"/>
        <c:majorTickMark val="out"/>
        <c:minorTickMark val="none"/>
        <c:tickLblPos val="nextTo"/>
        <c:crossAx val="5300775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ysClr val="window" lastClr="FFFFFF"/>
    </a:solidFill>
    <a:ln w="9525" cap="flat" cmpd="sng" algn="ctr">
      <a:solidFill>
        <a:srgbClr val="3F6E85"/>
      </a:solidFill>
      <a:round/>
    </a:ln>
    <a:effectLst/>
  </c:spPr>
  <c:txPr>
    <a:bodyPr/>
    <a:lstStyle/>
    <a:p>
      <a:pPr>
        <a:defRPr sz="700"/>
      </a:pPr>
      <a:endParaRPr lang="et-E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DB6F57-4A1A-4C1E-A446-AD92518FBA89}" type="doc">
      <dgm:prSet loTypeId="urn:microsoft.com/office/officeart/2005/8/layout/process1" loCatId="process" qsTypeId="urn:microsoft.com/office/officeart/2005/8/quickstyle/simple1" qsCatId="simple" csTypeId="urn:microsoft.com/office/officeart/2005/8/colors/colorful1" csCatId="colorful" phldr="1"/>
      <dgm:spPr/>
    </dgm:pt>
    <dgm:pt modelId="{E8977AB2-D90F-4266-9B0A-397EE4FEAC5B}">
      <dgm:prSet phldrT="[Text]" custT="1"/>
      <dgm:spPr/>
      <dgm:t>
        <a:bodyPr/>
        <a:lstStyle/>
        <a:p>
          <a:r>
            <a:rPr lang="et-EE" sz="1000"/>
            <a:t>Varustuskindluse tasu tarbijatelt - </a:t>
          </a:r>
        </a:p>
        <a:p>
          <a:r>
            <a:rPr lang="et-EE" sz="700"/>
            <a:t>maksed vastavalt tarbimise mahule</a:t>
          </a:r>
        </a:p>
      </dgm:t>
    </dgm:pt>
    <dgm:pt modelId="{0E67C964-8B2C-48B2-8BC8-8A578B500F6A}" type="parTrans" cxnId="{74A0AB70-826E-4BC2-97F7-2A2A129F3C6B}">
      <dgm:prSet/>
      <dgm:spPr/>
      <dgm:t>
        <a:bodyPr/>
        <a:lstStyle/>
        <a:p>
          <a:endParaRPr lang="et-EE"/>
        </a:p>
      </dgm:t>
    </dgm:pt>
    <dgm:pt modelId="{BDAF1586-ED86-491A-8DBD-DB16DA80C537}" type="sibTrans" cxnId="{74A0AB70-826E-4BC2-97F7-2A2A129F3C6B}">
      <dgm:prSet/>
      <dgm:spPr/>
      <dgm:t>
        <a:bodyPr/>
        <a:lstStyle/>
        <a:p>
          <a:endParaRPr lang="et-EE"/>
        </a:p>
      </dgm:t>
    </dgm:pt>
    <dgm:pt modelId="{2763C165-4D5C-4244-9E9B-526A4A90CDE1}">
      <dgm:prSet phldrT="[Text]"/>
      <dgm:spPr/>
      <dgm:t>
        <a:bodyPr/>
        <a:lstStyle/>
        <a:p>
          <a:r>
            <a:rPr lang="et-EE"/>
            <a:t>Strateegilise Reservi haldur</a:t>
          </a:r>
        </a:p>
      </dgm:t>
    </dgm:pt>
    <dgm:pt modelId="{06C7B0CB-541C-4C1B-9B00-E98E82F4057B}" type="parTrans" cxnId="{B218B6B5-B3AD-4350-8887-ED00D4E7B143}">
      <dgm:prSet/>
      <dgm:spPr/>
      <dgm:t>
        <a:bodyPr/>
        <a:lstStyle/>
        <a:p>
          <a:endParaRPr lang="et-EE"/>
        </a:p>
      </dgm:t>
    </dgm:pt>
    <dgm:pt modelId="{DC17C8E0-B919-4854-AED7-5BC9430C37A6}" type="sibTrans" cxnId="{B218B6B5-B3AD-4350-8887-ED00D4E7B143}">
      <dgm:prSet/>
      <dgm:spPr/>
      <dgm:t>
        <a:bodyPr/>
        <a:lstStyle/>
        <a:p>
          <a:endParaRPr lang="et-EE"/>
        </a:p>
      </dgm:t>
    </dgm:pt>
    <dgm:pt modelId="{B91B2964-BC76-4AF0-8EB3-1A3D8E506186}">
      <dgm:prSet phldrT="[Text]" custT="1"/>
      <dgm:spPr/>
      <dgm:t>
        <a:bodyPr/>
        <a:lstStyle/>
        <a:p>
          <a:r>
            <a:rPr lang="et-EE" sz="1000"/>
            <a:t>Maksed võimsuste pakkujatele - </a:t>
          </a:r>
        </a:p>
        <a:p>
          <a:r>
            <a:rPr lang="et-EE" sz="700"/>
            <a:t>maksed kuiste maksetena vastavalt üks kolmekümnekuuendik pakkumise reservvõimsuse püsikulu hinnast.</a:t>
          </a:r>
          <a:endParaRPr lang="et-EE" sz="900"/>
        </a:p>
      </dgm:t>
    </dgm:pt>
    <dgm:pt modelId="{028D0B1A-0EB8-4784-9B9C-905609677DA7}" type="parTrans" cxnId="{A0D785AF-B7A1-40CD-843C-4DD625D2FD22}">
      <dgm:prSet/>
      <dgm:spPr/>
      <dgm:t>
        <a:bodyPr/>
        <a:lstStyle/>
        <a:p>
          <a:endParaRPr lang="et-EE"/>
        </a:p>
      </dgm:t>
    </dgm:pt>
    <dgm:pt modelId="{C1ACEB59-D888-49B1-8B9D-68CDF158887D}" type="sibTrans" cxnId="{A0D785AF-B7A1-40CD-843C-4DD625D2FD22}">
      <dgm:prSet/>
      <dgm:spPr/>
      <dgm:t>
        <a:bodyPr/>
        <a:lstStyle/>
        <a:p>
          <a:endParaRPr lang="et-EE"/>
        </a:p>
      </dgm:t>
    </dgm:pt>
    <dgm:pt modelId="{20727AAC-994A-46F9-80ED-239C4A411904}">
      <dgm:prSet/>
      <dgm:spPr/>
      <dgm:t>
        <a:bodyPr/>
        <a:lstStyle/>
        <a:p>
          <a:r>
            <a:rPr lang="et-EE"/>
            <a:t>Strateegilise reservi haldamise kulud</a:t>
          </a:r>
        </a:p>
      </dgm:t>
    </dgm:pt>
    <dgm:pt modelId="{565478D7-8A22-432D-A6D1-A537AB383D19}" type="parTrans" cxnId="{29B91684-465C-4A38-A428-CD33FA6F0337}">
      <dgm:prSet/>
      <dgm:spPr/>
      <dgm:t>
        <a:bodyPr/>
        <a:lstStyle/>
        <a:p>
          <a:endParaRPr lang="et-EE"/>
        </a:p>
      </dgm:t>
    </dgm:pt>
    <dgm:pt modelId="{63D8DFFD-DE58-4C21-8ED2-0BDE844B9188}" type="sibTrans" cxnId="{29B91684-465C-4A38-A428-CD33FA6F0337}">
      <dgm:prSet/>
      <dgm:spPr>
        <a:solidFill>
          <a:schemeClr val="bg2">
            <a:lumMod val="75000"/>
          </a:schemeClr>
        </a:solidFill>
      </dgm:spPr>
      <dgm:t>
        <a:bodyPr/>
        <a:lstStyle/>
        <a:p>
          <a:endParaRPr lang="et-EE"/>
        </a:p>
      </dgm:t>
    </dgm:pt>
    <dgm:pt modelId="{4FF700EB-F876-4B6F-A1F0-1921AE7EF397}" type="pres">
      <dgm:prSet presAssocID="{BBDB6F57-4A1A-4C1E-A446-AD92518FBA89}" presName="Name0" presStyleCnt="0">
        <dgm:presLayoutVars>
          <dgm:dir/>
          <dgm:resizeHandles val="exact"/>
        </dgm:presLayoutVars>
      </dgm:prSet>
      <dgm:spPr/>
    </dgm:pt>
    <dgm:pt modelId="{D83760AF-B252-4964-924A-DD22530ECD0F}" type="pres">
      <dgm:prSet presAssocID="{E8977AB2-D90F-4266-9B0A-397EE4FEAC5B}" presName="node" presStyleLbl="node1" presStyleIdx="0" presStyleCnt="4">
        <dgm:presLayoutVars>
          <dgm:bulletEnabled val="1"/>
        </dgm:presLayoutVars>
      </dgm:prSet>
      <dgm:spPr/>
    </dgm:pt>
    <dgm:pt modelId="{FF80838D-2C0B-41BF-9F95-D10A7AEE35CE}" type="pres">
      <dgm:prSet presAssocID="{BDAF1586-ED86-491A-8DBD-DB16DA80C537}" presName="sibTrans" presStyleLbl="sibTrans2D1" presStyleIdx="0" presStyleCnt="3"/>
      <dgm:spPr/>
    </dgm:pt>
    <dgm:pt modelId="{699C565B-4979-4F66-AC2B-1A4009CBB5A3}" type="pres">
      <dgm:prSet presAssocID="{BDAF1586-ED86-491A-8DBD-DB16DA80C537}" presName="connectorText" presStyleLbl="sibTrans2D1" presStyleIdx="0" presStyleCnt="3"/>
      <dgm:spPr/>
    </dgm:pt>
    <dgm:pt modelId="{FE69AD7B-D92B-4589-AFBC-846E4030B39D}" type="pres">
      <dgm:prSet presAssocID="{2763C165-4D5C-4244-9E9B-526A4A90CDE1}" presName="node" presStyleLbl="node1" presStyleIdx="1" presStyleCnt="4" custScaleX="179761">
        <dgm:presLayoutVars>
          <dgm:bulletEnabled val="1"/>
        </dgm:presLayoutVars>
      </dgm:prSet>
      <dgm:spPr>
        <a:prstGeom prst="ellipse">
          <a:avLst/>
        </a:prstGeom>
      </dgm:spPr>
    </dgm:pt>
    <dgm:pt modelId="{49BCFC42-A72B-4B87-99A6-E75E0BCBF1C2}" type="pres">
      <dgm:prSet presAssocID="{DC17C8E0-B919-4854-AED7-5BC9430C37A6}" presName="sibTrans" presStyleLbl="sibTrans2D1" presStyleIdx="1" presStyleCnt="3" custLinFactNeighborX="25423" custLinFactNeighborY="-16174"/>
      <dgm:spPr/>
    </dgm:pt>
    <dgm:pt modelId="{4B211833-CCFF-459A-9CDC-A7B77294E7A8}" type="pres">
      <dgm:prSet presAssocID="{DC17C8E0-B919-4854-AED7-5BC9430C37A6}" presName="connectorText" presStyleLbl="sibTrans2D1" presStyleIdx="1" presStyleCnt="3"/>
      <dgm:spPr/>
    </dgm:pt>
    <dgm:pt modelId="{A684C5DA-538E-437D-91B6-2BAC54B066C1}" type="pres">
      <dgm:prSet presAssocID="{20727AAC-994A-46F9-80ED-239C4A411904}" presName="node" presStyleLbl="node1" presStyleIdx="2" presStyleCnt="4" custScaleX="137613" custScaleY="97748" custLinFactX="50500" custLinFactNeighborX="100000" custLinFactNeighborY="76479">
        <dgm:presLayoutVars>
          <dgm:bulletEnabled val="1"/>
        </dgm:presLayoutVars>
      </dgm:prSet>
      <dgm:spPr/>
    </dgm:pt>
    <dgm:pt modelId="{0031293E-200C-4877-8370-31A87941694E}" type="pres">
      <dgm:prSet presAssocID="{63D8DFFD-DE58-4C21-8ED2-0BDE844B9188}" presName="sibTrans" presStyleLbl="sibTrans2D1" presStyleIdx="2" presStyleCnt="3" custAng="3615031" custScaleX="287448" custScaleY="105763" custLinFactX="-300000" custLinFactY="-100000" custLinFactNeighborX="-369840" custLinFactNeighborY="-103063"/>
      <dgm:spPr/>
    </dgm:pt>
    <dgm:pt modelId="{5B63E88D-1D58-4F3C-88E6-121428811FC0}" type="pres">
      <dgm:prSet presAssocID="{63D8DFFD-DE58-4C21-8ED2-0BDE844B9188}" presName="connectorText" presStyleLbl="sibTrans2D1" presStyleIdx="2" presStyleCnt="3"/>
      <dgm:spPr/>
    </dgm:pt>
    <dgm:pt modelId="{12A9004D-59D2-49BF-ABE5-1481730432B1}" type="pres">
      <dgm:prSet presAssocID="{B91B2964-BC76-4AF0-8EB3-1A3D8E506186}" presName="node" presStyleLbl="node1" presStyleIdx="3" presStyleCnt="4" custScaleX="137249" custScaleY="105785" custLinFactX="-99226" custLinFactNeighborX="-100000" custLinFactNeighborY="-47055">
        <dgm:presLayoutVars>
          <dgm:bulletEnabled val="1"/>
        </dgm:presLayoutVars>
      </dgm:prSet>
      <dgm:spPr/>
    </dgm:pt>
  </dgm:ptLst>
  <dgm:cxnLst>
    <dgm:cxn modelId="{802DC62F-F9B1-46AC-B102-BCF21252C3DD}" type="presOf" srcId="{B91B2964-BC76-4AF0-8EB3-1A3D8E506186}" destId="{12A9004D-59D2-49BF-ABE5-1481730432B1}" srcOrd="0" destOrd="0" presId="urn:microsoft.com/office/officeart/2005/8/layout/process1"/>
    <dgm:cxn modelId="{95257B35-2A01-4E13-B6B3-E1A1C88F0056}" type="presOf" srcId="{BDAF1586-ED86-491A-8DBD-DB16DA80C537}" destId="{FF80838D-2C0B-41BF-9F95-D10A7AEE35CE}" srcOrd="0" destOrd="0" presId="urn:microsoft.com/office/officeart/2005/8/layout/process1"/>
    <dgm:cxn modelId="{D7AE1344-7011-4C1A-90E7-FC4FBFDCE639}" type="presOf" srcId="{2763C165-4D5C-4244-9E9B-526A4A90CDE1}" destId="{FE69AD7B-D92B-4589-AFBC-846E4030B39D}" srcOrd="0" destOrd="0" presId="urn:microsoft.com/office/officeart/2005/8/layout/process1"/>
    <dgm:cxn modelId="{3944DA49-0946-46BD-AB81-BF6B2D1D37F5}" type="presOf" srcId="{E8977AB2-D90F-4266-9B0A-397EE4FEAC5B}" destId="{D83760AF-B252-4964-924A-DD22530ECD0F}" srcOrd="0" destOrd="0" presId="urn:microsoft.com/office/officeart/2005/8/layout/process1"/>
    <dgm:cxn modelId="{809AD86A-3AB2-4519-9017-A17F06401263}" type="presOf" srcId="{BBDB6F57-4A1A-4C1E-A446-AD92518FBA89}" destId="{4FF700EB-F876-4B6F-A1F0-1921AE7EF397}" srcOrd="0" destOrd="0" presId="urn:microsoft.com/office/officeart/2005/8/layout/process1"/>
    <dgm:cxn modelId="{8FC5C04E-751D-42E7-A647-697EE6A55288}" type="presOf" srcId="{63D8DFFD-DE58-4C21-8ED2-0BDE844B9188}" destId="{0031293E-200C-4877-8370-31A87941694E}" srcOrd="0" destOrd="0" presId="urn:microsoft.com/office/officeart/2005/8/layout/process1"/>
    <dgm:cxn modelId="{74A0AB70-826E-4BC2-97F7-2A2A129F3C6B}" srcId="{BBDB6F57-4A1A-4C1E-A446-AD92518FBA89}" destId="{E8977AB2-D90F-4266-9B0A-397EE4FEAC5B}" srcOrd="0" destOrd="0" parTransId="{0E67C964-8B2C-48B2-8BC8-8A578B500F6A}" sibTransId="{BDAF1586-ED86-491A-8DBD-DB16DA80C537}"/>
    <dgm:cxn modelId="{80FBE176-33A0-47A1-AE57-98D209B0CAD7}" type="presOf" srcId="{20727AAC-994A-46F9-80ED-239C4A411904}" destId="{A684C5DA-538E-437D-91B6-2BAC54B066C1}" srcOrd="0" destOrd="0" presId="urn:microsoft.com/office/officeart/2005/8/layout/process1"/>
    <dgm:cxn modelId="{29B91684-465C-4A38-A428-CD33FA6F0337}" srcId="{BBDB6F57-4A1A-4C1E-A446-AD92518FBA89}" destId="{20727AAC-994A-46F9-80ED-239C4A411904}" srcOrd="2" destOrd="0" parTransId="{565478D7-8A22-432D-A6D1-A537AB383D19}" sibTransId="{63D8DFFD-DE58-4C21-8ED2-0BDE844B9188}"/>
    <dgm:cxn modelId="{11DDC28B-A9DF-45B9-9257-B1D5AC3FA42C}" type="presOf" srcId="{63D8DFFD-DE58-4C21-8ED2-0BDE844B9188}" destId="{5B63E88D-1D58-4F3C-88E6-121428811FC0}" srcOrd="1" destOrd="0" presId="urn:microsoft.com/office/officeart/2005/8/layout/process1"/>
    <dgm:cxn modelId="{A0D785AF-B7A1-40CD-843C-4DD625D2FD22}" srcId="{BBDB6F57-4A1A-4C1E-A446-AD92518FBA89}" destId="{B91B2964-BC76-4AF0-8EB3-1A3D8E506186}" srcOrd="3" destOrd="0" parTransId="{028D0B1A-0EB8-4784-9B9C-905609677DA7}" sibTransId="{C1ACEB59-D888-49B1-8B9D-68CDF158887D}"/>
    <dgm:cxn modelId="{03AA5AB3-9F9A-4C65-B8A4-E3D74742A449}" type="presOf" srcId="{BDAF1586-ED86-491A-8DBD-DB16DA80C537}" destId="{699C565B-4979-4F66-AC2B-1A4009CBB5A3}" srcOrd="1" destOrd="0" presId="urn:microsoft.com/office/officeart/2005/8/layout/process1"/>
    <dgm:cxn modelId="{B218B6B5-B3AD-4350-8887-ED00D4E7B143}" srcId="{BBDB6F57-4A1A-4C1E-A446-AD92518FBA89}" destId="{2763C165-4D5C-4244-9E9B-526A4A90CDE1}" srcOrd="1" destOrd="0" parTransId="{06C7B0CB-541C-4C1B-9B00-E98E82F4057B}" sibTransId="{DC17C8E0-B919-4854-AED7-5BC9430C37A6}"/>
    <dgm:cxn modelId="{21963AB6-8701-48B4-A668-F9DF99326437}" type="presOf" srcId="{DC17C8E0-B919-4854-AED7-5BC9430C37A6}" destId="{49BCFC42-A72B-4B87-99A6-E75E0BCBF1C2}" srcOrd="0" destOrd="0" presId="urn:microsoft.com/office/officeart/2005/8/layout/process1"/>
    <dgm:cxn modelId="{054B39EB-DB6A-4C8A-82CE-63A18ECEABC9}" type="presOf" srcId="{DC17C8E0-B919-4854-AED7-5BC9430C37A6}" destId="{4B211833-CCFF-459A-9CDC-A7B77294E7A8}" srcOrd="1" destOrd="0" presId="urn:microsoft.com/office/officeart/2005/8/layout/process1"/>
    <dgm:cxn modelId="{1DC8A851-7AA9-4669-91F2-B297A585B26C}" type="presParOf" srcId="{4FF700EB-F876-4B6F-A1F0-1921AE7EF397}" destId="{D83760AF-B252-4964-924A-DD22530ECD0F}" srcOrd="0" destOrd="0" presId="urn:microsoft.com/office/officeart/2005/8/layout/process1"/>
    <dgm:cxn modelId="{7BBE1FD8-4B33-4C67-B84D-EAF90095FCE0}" type="presParOf" srcId="{4FF700EB-F876-4B6F-A1F0-1921AE7EF397}" destId="{FF80838D-2C0B-41BF-9F95-D10A7AEE35CE}" srcOrd="1" destOrd="0" presId="urn:microsoft.com/office/officeart/2005/8/layout/process1"/>
    <dgm:cxn modelId="{BA837903-9477-49E0-8958-0796D2DC0D8A}" type="presParOf" srcId="{FF80838D-2C0B-41BF-9F95-D10A7AEE35CE}" destId="{699C565B-4979-4F66-AC2B-1A4009CBB5A3}" srcOrd="0" destOrd="0" presId="urn:microsoft.com/office/officeart/2005/8/layout/process1"/>
    <dgm:cxn modelId="{CF6C2CFA-9831-4EEB-A9D4-4D765799E2C7}" type="presParOf" srcId="{4FF700EB-F876-4B6F-A1F0-1921AE7EF397}" destId="{FE69AD7B-D92B-4589-AFBC-846E4030B39D}" srcOrd="2" destOrd="0" presId="urn:microsoft.com/office/officeart/2005/8/layout/process1"/>
    <dgm:cxn modelId="{4A44F1E6-127A-4CFF-AABB-2C578EA44B66}" type="presParOf" srcId="{4FF700EB-F876-4B6F-A1F0-1921AE7EF397}" destId="{49BCFC42-A72B-4B87-99A6-E75E0BCBF1C2}" srcOrd="3" destOrd="0" presId="urn:microsoft.com/office/officeart/2005/8/layout/process1"/>
    <dgm:cxn modelId="{EEF16431-CDCF-414C-8A84-EC5EB46C0A3D}" type="presParOf" srcId="{49BCFC42-A72B-4B87-99A6-E75E0BCBF1C2}" destId="{4B211833-CCFF-459A-9CDC-A7B77294E7A8}" srcOrd="0" destOrd="0" presId="urn:microsoft.com/office/officeart/2005/8/layout/process1"/>
    <dgm:cxn modelId="{25AD30A8-6994-4053-A988-E2254EC28CE1}" type="presParOf" srcId="{4FF700EB-F876-4B6F-A1F0-1921AE7EF397}" destId="{A684C5DA-538E-437D-91B6-2BAC54B066C1}" srcOrd="4" destOrd="0" presId="urn:microsoft.com/office/officeart/2005/8/layout/process1"/>
    <dgm:cxn modelId="{61B8ACF1-C606-4E0B-B9DD-BA74C303E684}" type="presParOf" srcId="{4FF700EB-F876-4B6F-A1F0-1921AE7EF397}" destId="{0031293E-200C-4877-8370-31A87941694E}" srcOrd="5" destOrd="0" presId="urn:microsoft.com/office/officeart/2005/8/layout/process1"/>
    <dgm:cxn modelId="{907F663A-C626-4DE6-A9DB-E8E858D8EBEF}" type="presParOf" srcId="{0031293E-200C-4877-8370-31A87941694E}" destId="{5B63E88D-1D58-4F3C-88E6-121428811FC0}" srcOrd="0" destOrd="0" presId="urn:microsoft.com/office/officeart/2005/8/layout/process1"/>
    <dgm:cxn modelId="{DF7742EF-8A14-41C1-B248-5134D4DBD12D}" type="presParOf" srcId="{4FF700EB-F876-4B6F-A1F0-1921AE7EF397}" destId="{12A9004D-59D2-49BF-ABE5-1481730432B1}" srcOrd="6" destOrd="0" presId="urn:microsoft.com/office/officeart/2005/8/layout/process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3760AF-B252-4964-924A-DD22530ECD0F}">
      <dsp:nvSpPr>
        <dsp:cNvPr id="0" name=""/>
        <dsp:cNvSpPr/>
      </dsp:nvSpPr>
      <dsp:spPr>
        <a:xfrm>
          <a:off x="3418" y="914001"/>
          <a:ext cx="822971" cy="954619"/>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t-EE" sz="1000" kern="1200"/>
            <a:t>Varustuskindluse tasu tarbijatelt - </a:t>
          </a:r>
        </a:p>
        <a:p>
          <a:pPr marL="0" lvl="0" indent="0" algn="ctr" defTabSz="444500">
            <a:lnSpc>
              <a:spcPct val="90000"/>
            </a:lnSpc>
            <a:spcBef>
              <a:spcPct val="0"/>
            </a:spcBef>
            <a:spcAft>
              <a:spcPct val="35000"/>
            </a:spcAft>
            <a:buNone/>
          </a:pPr>
          <a:r>
            <a:rPr lang="et-EE" sz="700" kern="1200"/>
            <a:t>maksed vastavalt tarbimise mahule</a:t>
          </a:r>
        </a:p>
      </dsp:txBody>
      <dsp:txXfrm>
        <a:off x="27522" y="938105"/>
        <a:ext cx="774763" cy="906411"/>
      </dsp:txXfrm>
    </dsp:sp>
    <dsp:sp modelId="{FF80838D-2C0B-41BF-9F95-D10A7AEE35CE}">
      <dsp:nvSpPr>
        <dsp:cNvPr id="0" name=""/>
        <dsp:cNvSpPr/>
      </dsp:nvSpPr>
      <dsp:spPr>
        <a:xfrm>
          <a:off x="908686" y="1289262"/>
          <a:ext cx="174469" cy="204096"/>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t-EE" sz="800" kern="1200"/>
        </a:p>
      </dsp:txBody>
      <dsp:txXfrm>
        <a:off x="908686" y="1330081"/>
        <a:ext cx="122128" cy="122458"/>
      </dsp:txXfrm>
    </dsp:sp>
    <dsp:sp modelId="{FE69AD7B-D92B-4589-AFBC-846E4030B39D}">
      <dsp:nvSpPr>
        <dsp:cNvPr id="0" name=""/>
        <dsp:cNvSpPr/>
      </dsp:nvSpPr>
      <dsp:spPr>
        <a:xfrm>
          <a:off x="1155577" y="914001"/>
          <a:ext cx="1479381" cy="954619"/>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t-EE" sz="1100" kern="1200"/>
            <a:t>Strateegilise Reservi haldur</a:t>
          </a:r>
        </a:p>
      </dsp:txBody>
      <dsp:txXfrm>
        <a:off x="1372227" y="1053802"/>
        <a:ext cx="1046081" cy="675017"/>
      </dsp:txXfrm>
    </dsp:sp>
    <dsp:sp modelId="{49BCFC42-A72B-4B87-99A6-E75E0BCBF1C2}">
      <dsp:nvSpPr>
        <dsp:cNvPr id="0" name=""/>
        <dsp:cNvSpPr/>
      </dsp:nvSpPr>
      <dsp:spPr>
        <a:xfrm rot="1117987">
          <a:off x="2959380" y="1654878"/>
          <a:ext cx="480626" cy="204096"/>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t-EE" sz="800" kern="1200"/>
        </a:p>
      </dsp:txBody>
      <dsp:txXfrm>
        <a:off x="2960985" y="1685915"/>
        <a:ext cx="419397" cy="122458"/>
      </dsp:txXfrm>
    </dsp:sp>
    <dsp:sp modelId="{A684C5DA-538E-437D-91B6-2BAC54B066C1}">
      <dsp:nvSpPr>
        <dsp:cNvPr id="0" name=""/>
        <dsp:cNvSpPr/>
      </dsp:nvSpPr>
      <dsp:spPr>
        <a:xfrm>
          <a:off x="3494269" y="1654833"/>
          <a:ext cx="1132515" cy="933121"/>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t-EE" sz="1100" kern="1200"/>
            <a:t>Strateegilise reservi haldamise kulud</a:t>
          </a:r>
        </a:p>
      </dsp:txBody>
      <dsp:txXfrm>
        <a:off x="3521599" y="1682163"/>
        <a:ext cx="1077855" cy="878461"/>
      </dsp:txXfrm>
    </dsp:sp>
    <dsp:sp modelId="{0031293E-200C-4877-8370-31A87941694E}">
      <dsp:nvSpPr>
        <dsp:cNvPr id="0" name=""/>
        <dsp:cNvSpPr/>
      </dsp:nvSpPr>
      <dsp:spPr>
        <a:xfrm rot="19812005">
          <a:off x="3164025" y="1025443"/>
          <a:ext cx="316573" cy="215858"/>
        </a:xfrm>
        <a:prstGeom prst="rightArrow">
          <a:avLst>
            <a:gd name="adj1" fmla="val 60000"/>
            <a:gd name="adj2" fmla="val 50000"/>
          </a:avLst>
        </a:prstGeom>
        <a:solidFill>
          <a:schemeClr val="bg2">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t-EE" sz="900" kern="1200"/>
        </a:p>
      </dsp:txBody>
      <dsp:txXfrm rot="10800000">
        <a:off x="3168307" y="1084706"/>
        <a:ext cx="251816" cy="129514"/>
      </dsp:txXfrm>
    </dsp:sp>
    <dsp:sp modelId="{12A9004D-59D2-49BF-ABE5-1481730432B1}">
      <dsp:nvSpPr>
        <dsp:cNvPr id="0" name=""/>
        <dsp:cNvSpPr/>
      </dsp:nvSpPr>
      <dsp:spPr>
        <a:xfrm>
          <a:off x="3494729" y="437192"/>
          <a:ext cx="1129519" cy="100984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t-EE" sz="1000" kern="1200"/>
            <a:t>Maksed võimsuste pakkujatele - </a:t>
          </a:r>
        </a:p>
        <a:p>
          <a:pPr marL="0" lvl="0" indent="0" algn="ctr" defTabSz="444500">
            <a:lnSpc>
              <a:spcPct val="90000"/>
            </a:lnSpc>
            <a:spcBef>
              <a:spcPct val="0"/>
            </a:spcBef>
            <a:spcAft>
              <a:spcPct val="35000"/>
            </a:spcAft>
            <a:buNone/>
          </a:pPr>
          <a:r>
            <a:rPr lang="et-EE" sz="700" kern="1200"/>
            <a:t>maksed kuiste maksetena vastavalt üks kolmekümnekuuendik pakkumise reservvõimsuse püsikulu hinnast.</a:t>
          </a:r>
          <a:endParaRPr lang="et-EE" sz="900" kern="1200"/>
        </a:p>
      </dsp:txBody>
      <dsp:txXfrm>
        <a:off x="3524306" y="466769"/>
        <a:ext cx="1070365" cy="95069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D39829-5781-4745-9F18-3D4263621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26</Pages>
  <Words>9280</Words>
  <Characters>53828</Characters>
  <Application>Microsoft Office Word</Application>
  <DocSecurity>0</DocSecurity>
  <Lines>448</Lines>
  <Paragraphs>125</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62983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Siim Iimre</dc:creator>
  <cp:keywords/>
  <dc:description/>
  <cp:lastModifiedBy>Jarmo  Ling</cp:lastModifiedBy>
  <cp:revision>6</cp:revision>
  <cp:lastPrinted>2021-03-22T07:41:00Z</cp:lastPrinted>
  <dcterms:created xsi:type="dcterms:W3CDTF">2021-11-26T08:53:00Z</dcterms:created>
  <dcterms:modified xsi:type="dcterms:W3CDTF">2021-11-30T12:16:00Z</dcterms:modified>
</cp:coreProperties>
</file>