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70D5" w14:textId="77777777" w:rsidR="00DE2049" w:rsidRPr="00473718" w:rsidRDefault="00DE2049" w:rsidP="00DE2049">
      <w:pPr>
        <w:spacing w:before="120" w:after="120"/>
        <w:jc w:val="center"/>
        <w:rPr>
          <w:b/>
          <w:sz w:val="22"/>
          <w:szCs w:val="22"/>
        </w:rPr>
      </w:pPr>
      <w:bookmarkStart w:id="0" w:name="OLE_LINK1"/>
    </w:p>
    <w:p w14:paraId="4859A2A0" w14:textId="77777777" w:rsidR="00C25A71" w:rsidRPr="00473718" w:rsidRDefault="00C25A71" w:rsidP="00DE2049">
      <w:pPr>
        <w:spacing w:before="120" w:after="120"/>
        <w:jc w:val="center"/>
        <w:rPr>
          <w:b/>
        </w:rPr>
      </w:pPr>
    </w:p>
    <w:p w14:paraId="31C0A8B8" w14:textId="047AD642" w:rsidR="00DD5E53" w:rsidRPr="002A32BF" w:rsidRDefault="00DD5E53" w:rsidP="00DE2049">
      <w:pPr>
        <w:spacing w:before="120" w:after="120"/>
        <w:jc w:val="center"/>
        <w:rPr>
          <w:b/>
        </w:rPr>
      </w:pPr>
      <w:r w:rsidRPr="002A32BF">
        <w:rPr>
          <w:b/>
        </w:rPr>
        <w:t>ELEK</w:t>
      </w:r>
      <w:r w:rsidR="00DE2049" w:rsidRPr="002A32BF">
        <w:rPr>
          <w:b/>
        </w:rPr>
        <w:t xml:space="preserve">TRIENERGIA BILANSILEPING nr </w:t>
      </w:r>
      <w:r w:rsidR="009E4D70">
        <w:rPr>
          <w:b/>
        </w:rPr>
        <w:t>[</w:t>
      </w:r>
      <w:r w:rsidR="009E4D70" w:rsidRPr="009E4D70">
        <w:rPr>
          <w:b/>
          <w:highlight w:val="yellow"/>
        </w:rPr>
        <w:t>….</w:t>
      </w:r>
      <w:r w:rsidR="009E4D70">
        <w:rPr>
          <w:b/>
        </w:rPr>
        <w:t>]</w:t>
      </w:r>
    </w:p>
    <w:p w14:paraId="47157774" w14:textId="77777777" w:rsidR="00D605F1" w:rsidRPr="002A32BF" w:rsidRDefault="00D605F1" w:rsidP="00D605F1">
      <w:pPr>
        <w:pStyle w:val="Default"/>
        <w:rPr>
          <w:rFonts w:ascii="Times New Roman" w:hAnsi="Times New Roman" w:cs="Times New Roman"/>
        </w:rPr>
      </w:pPr>
    </w:p>
    <w:p w14:paraId="1D948A77" w14:textId="214E5A47" w:rsidR="00D605F1" w:rsidRPr="002A32BF" w:rsidRDefault="009E4D70" w:rsidP="00D605F1">
      <w:pPr>
        <w:spacing w:before="120" w:after="120"/>
        <w:rPr>
          <w:b/>
          <w:sz w:val="22"/>
          <w:szCs w:val="22"/>
        </w:rPr>
      </w:pPr>
      <w:r w:rsidRPr="009E4D70">
        <w:rPr>
          <w:sz w:val="22"/>
          <w:szCs w:val="22"/>
          <w:highlight w:val="yellow"/>
        </w:rPr>
        <w:t>…..</w:t>
      </w:r>
      <w:r w:rsidR="00C9304F" w:rsidRPr="002A32BF">
        <w:rPr>
          <w:sz w:val="22"/>
          <w:szCs w:val="22"/>
        </w:rPr>
        <w:t xml:space="preserve"> </w:t>
      </w:r>
      <w:r w:rsidR="00FD42CE" w:rsidRPr="002A32BF">
        <w:rPr>
          <w:sz w:val="22"/>
          <w:szCs w:val="22"/>
        </w:rPr>
        <w:t xml:space="preserve">2022, </w:t>
      </w:r>
      <w:r w:rsidR="00D605F1" w:rsidRPr="002A32BF">
        <w:rPr>
          <w:sz w:val="22"/>
          <w:szCs w:val="22"/>
        </w:rPr>
        <w:t>Tallinn</w:t>
      </w:r>
    </w:p>
    <w:p w14:paraId="6690AB3B" w14:textId="77777777" w:rsidR="00DD5E53" w:rsidRPr="002A32BF" w:rsidRDefault="00DD5E53" w:rsidP="006C1900">
      <w:pPr>
        <w:pStyle w:val="Heading1"/>
        <w:keepNext/>
        <w:numPr>
          <w:ilvl w:val="0"/>
          <w:numId w:val="12"/>
        </w:numPr>
        <w:tabs>
          <w:tab w:val="left" w:pos="2835"/>
        </w:tabs>
        <w:suppressAutoHyphens/>
        <w:spacing w:before="120" w:after="120"/>
        <w:ind w:left="0" w:firstLine="0"/>
        <w:jc w:val="both"/>
        <w:rPr>
          <w:b w:val="0"/>
          <w:sz w:val="22"/>
          <w:szCs w:val="22"/>
        </w:rPr>
      </w:pPr>
      <w:r w:rsidRPr="002A32BF">
        <w:rPr>
          <w:sz w:val="22"/>
          <w:szCs w:val="22"/>
        </w:rPr>
        <w:t>Elering AS</w:t>
      </w:r>
      <w:r w:rsidRPr="002A32BF">
        <w:rPr>
          <w:b w:val="0"/>
          <w:sz w:val="22"/>
          <w:szCs w:val="22"/>
        </w:rPr>
        <w:t xml:space="preserve"> </w:t>
      </w:r>
      <w:r w:rsidRPr="002A32BF">
        <w:rPr>
          <w:sz w:val="22"/>
          <w:szCs w:val="22"/>
        </w:rPr>
        <w:t>(</w:t>
      </w:r>
      <w:r w:rsidRPr="002A32BF">
        <w:rPr>
          <w:b w:val="0"/>
          <w:sz w:val="22"/>
          <w:szCs w:val="22"/>
        </w:rPr>
        <w:t xml:space="preserve">edaspidi: </w:t>
      </w:r>
      <w:r w:rsidRPr="002A32BF">
        <w:rPr>
          <w:sz w:val="22"/>
          <w:szCs w:val="22"/>
        </w:rPr>
        <w:t xml:space="preserve">süsteemihaldur), </w:t>
      </w:r>
      <w:r w:rsidRPr="002A32BF">
        <w:rPr>
          <w:b w:val="0"/>
          <w:sz w:val="22"/>
          <w:szCs w:val="22"/>
        </w:rPr>
        <w:t xml:space="preserve">registrikood 11022625, asukoht Kadaka tee 42, 12915 Tallinn, mida esindab seaduse ja põhikirja alusel juhatuse esimees </w:t>
      </w:r>
      <w:r w:rsidRPr="002A32BF">
        <w:rPr>
          <w:b w:val="0"/>
          <w:bCs/>
          <w:sz w:val="22"/>
          <w:szCs w:val="22"/>
        </w:rPr>
        <w:t xml:space="preserve">Taavi Veskimägi </w:t>
      </w:r>
    </w:p>
    <w:p w14:paraId="5705D285" w14:textId="77777777" w:rsidR="00DD5E53" w:rsidRPr="002A32BF" w:rsidRDefault="00DD5E53" w:rsidP="006C1900">
      <w:pPr>
        <w:spacing w:before="120" w:after="120"/>
        <w:jc w:val="both"/>
        <w:rPr>
          <w:sz w:val="22"/>
          <w:szCs w:val="22"/>
        </w:rPr>
      </w:pPr>
      <w:r w:rsidRPr="002A32BF">
        <w:rPr>
          <w:sz w:val="22"/>
          <w:szCs w:val="22"/>
        </w:rPr>
        <w:t>ning</w:t>
      </w:r>
    </w:p>
    <w:p w14:paraId="156A1B3A" w14:textId="64E094C9" w:rsidR="00602C4C" w:rsidRPr="002A32BF" w:rsidRDefault="009E4D70" w:rsidP="00602C4C">
      <w:pPr>
        <w:spacing w:before="120" w:after="120"/>
        <w:jc w:val="both"/>
        <w:rPr>
          <w:sz w:val="22"/>
          <w:szCs w:val="22"/>
        </w:rPr>
      </w:pPr>
      <w:r w:rsidRPr="009E4D70">
        <w:rPr>
          <w:b/>
          <w:sz w:val="22"/>
          <w:szCs w:val="22"/>
          <w:highlight w:val="yellow"/>
          <w:lang w:eastAsia="et-EE"/>
        </w:rPr>
        <w:t>…..</w:t>
      </w:r>
      <w:r w:rsidR="00602C4C" w:rsidRPr="002A32BF">
        <w:rPr>
          <w:b/>
          <w:sz w:val="22"/>
          <w:szCs w:val="22"/>
          <w:lang w:eastAsia="et-EE"/>
        </w:rPr>
        <w:t xml:space="preserve"> </w:t>
      </w:r>
      <w:r w:rsidR="00DD5E53" w:rsidRPr="002A32BF">
        <w:rPr>
          <w:sz w:val="22"/>
          <w:szCs w:val="22"/>
        </w:rPr>
        <w:t xml:space="preserve">(edaspidi: </w:t>
      </w:r>
      <w:r w:rsidR="00DD5E53" w:rsidRPr="002A32BF">
        <w:rPr>
          <w:b/>
          <w:sz w:val="22"/>
          <w:szCs w:val="22"/>
        </w:rPr>
        <w:t>bilansihaldur</w:t>
      </w:r>
      <w:r w:rsidR="00DD5E53" w:rsidRPr="002A32BF">
        <w:rPr>
          <w:sz w:val="22"/>
          <w:szCs w:val="22"/>
        </w:rPr>
        <w:t xml:space="preserve">), registrikood </w:t>
      </w:r>
      <w:r w:rsidRPr="009E4D70">
        <w:rPr>
          <w:sz w:val="22"/>
          <w:szCs w:val="22"/>
          <w:highlight w:val="yellow"/>
        </w:rPr>
        <w:t>…..</w:t>
      </w:r>
      <w:r w:rsidR="00DD5E53" w:rsidRPr="009E4D70">
        <w:rPr>
          <w:sz w:val="22"/>
          <w:szCs w:val="22"/>
          <w:highlight w:val="yellow"/>
        </w:rPr>
        <w:t xml:space="preserve">, asukoht </w:t>
      </w:r>
      <w:r w:rsidRPr="009E4D70">
        <w:rPr>
          <w:sz w:val="22"/>
          <w:szCs w:val="22"/>
          <w:highlight w:val="yellow"/>
        </w:rPr>
        <w:t>…..</w:t>
      </w:r>
      <w:r w:rsidR="00602C4C" w:rsidRPr="009E4D70">
        <w:rPr>
          <w:sz w:val="22"/>
          <w:szCs w:val="22"/>
          <w:highlight w:val="yellow"/>
        </w:rPr>
        <w:t xml:space="preserve">, </w:t>
      </w:r>
      <w:r w:rsidR="00C9304F" w:rsidRPr="009E4D70">
        <w:rPr>
          <w:sz w:val="22"/>
          <w:szCs w:val="22"/>
          <w:highlight w:val="yellow"/>
        </w:rPr>
        <w:t xml:space="preserve">keda esindab </w:t>
      </w:r>
      <w:r w:rsidRPr="009E4D70">
        <w:rPr>
          <w:sz w:val="22"/>
          <w:szCs w:val="22"/>
          <w:highlight w:val="yellow"/>
        </w:rPr>
        <w:t>…..</w:t>
      </w:r>
      <w:r w:rsidR="00F5507E" w:rsidRPr="009E4D70">
        <w:rPr>
          <w:sz w:val="22"/>
          <w:szCs w:val="22"/>
          <w:highlight w:val="yellow"/>
        </w:rPr>
        <w:t>.</w:t>
      </w:r>
    </w:p>
    <w:p w14:paraId="22A32A8F" w14:textId="77777777" w:rsidR="00DD5E53" w:rsidRPr="002A32BF" w:rsidRDefault="00DD5E53" w:rsidP="006C1900">
      <w:pPr>
        <w:spacing w:before="120" w:after="120"/>
        <w:jc w:val="both"/>
        <w:rPr>
          <w:sz w:val="22"/>
          <w:szCs w:val="22"/>
        </w:rPr>
      </w:pPr>
      <w:r w:rsidRPr="002A32BF">
        <w:rPr>
          <w:sz w:val="22"/>
          <w:szCs w:val="22"/>
        </w:rPr>
        <w:t xml:space="preserve">Edaspidi kumbki eraldi nimetatud ka kui </w:t>
      </w:r>
      <w:r w:rsidRPr="002A32BF">
        <w:rPr>
          <w:b/>
          <w:bCs/>
          <w:sz w:val="22"/>
          <w:szCs w:val="22"/>
        </w:rPr>
        <w:t>pool</w:t>
      </w:r>
      <w:r w:rsidRPr="002A32BF">
        <w:rPr>
          <w:sz w:val="22"/>
          <w:szCs w:val="22"/>
        </w:rPr>
        <w:t xml:space="preserve"> ning mõlemad koos ka kui </w:t>
      </w:r>
      <w:r w:rsidRPr="002A32BF">
        <w:rPr>
          <w:b/>
          <w:bCs/>
          <w:sz w:val="22"/>
          <w:szCs w:val="22"/>
        </w:rPr>
        <w:t>pooled</w:t>
      </w:r>
      <w:r w:rsidR="00DE2049" w:rsidRPr="002A32BF">
        <w:rPr>
          <w:sz w:val="22"/>
          <w:szCs w:val="22"/>
        </w:rPr>
        <w:t>.</w:t>
      </w:r>
    </w:p>
    <w:p w14:paraId="68A4630C" w14:textId="77777777" w:rsidR="00DE2049" w:rsidRPr="002A32BF" w:rsidRDefault="00DE2049" w:rsidP="006C1900">
      <w:pPr>
        <w:spacing w:before="120" w:after="120"/>
        <w:jc w:val="both"/>
        <w:rPr>
          <w:sz w:val="22"/>
          <w:szCs w:val="22"/>
        </w:rPr>
      </w:pPr>
    </w:p>
    <w:p w14:paraId="0578BEEC" w14:textId="77777777" w:rsidR="00DD5E53" w:rsidRPr="002A32BF" w:rsidRDefault="00DD5E53" w:rsidP="00B40BE7">
      <w:pPr>
        <w:pStyle w:val="Heading1"/>
        <w:numPr>
          <w:ilvl w:val="0"/>
          <w:numId w:val="21"/>
        </w:numPr>
        <w:spacing w:before="120" w:after="120"/>
        <w:jc w:val="both"/>
        <w:rPr>
          <w:sz w:val="22"/>
          <w:szCs w:val="22"/>
        </w:rPr>
      </w:pPr>
      <w:r w:rsidRPr="002A32BF">
        <w:rPr>
          <w:sz w:val="22"/>
          <w:szCs w:val="22"/>
        </w:rPr>
        <w:t>Lepingu ese</w:t>
      </w:r>
    </w:p>
    <w:p w14:paraId="04410502" w14:textId="77777777" w:rsidR="00DD5E53" w:rsidRPr="002A32BF" w:rsidRDefault="00DD5E53" w:rsidP="006C1900">
      <w:pPr>
        <w:pStyle w:val="Heading2"/>
        <w:numPr>
          <w:ilvl w:val="1"/>
          <w:numId w:val="21"/>
        </w:numPr>
        <w:spacing w:after="120"/>
        <w:rPr>
          <w:sz w:val="22"/>
          <w:szCs w:val="22"/>
          <w:lang w:val="et-EE"/>
        </w:rPr>
      </w:pPr>
      <w:r w:rsidRPr="002A32BF">
        <w:rPr>
          <w:sz w:val="22"/>
          <w:szCs w:val="22"/>
          <w:lang w:val="et-EE"/>
        </w:rPr>
        <w:t>Lepingu sõlmimisega on pooled kokku leppinud, et süsteemihaldur müüb lepingu alusel bilansihaldurile või ostab temalt avatud tarnena igal kauplemisperioodil bilansi tagamiseks vajaliku koguse bilansienergiat.</w:t>
      </w:r>
    </w:p>
    <w:p w14:paraId="4D69C3B7" w14:textId="77777777" w:rsidR="00DD5E53" w:rsidRPr="002A32BF" w:rsidRDefault="00DD5E53" w:rsidP="006C1900">
      <w:pPr>
        <w:pStyle w:val="Heading2"/>
        <w:numPr>
          <w:ilvl w:val="1"/>
          <w:numId w:val="21"/>
        </w:numPr>
        <w:spacing w:after="120"/>
        <w:rPr>
          <w:sz w:val="22"/>
          <w:szCs w:val="22"/>
          <w:lang w:val="et-EE"/>
        </w:rPr>
      </w:pPr>
      <w:r w:rsidRPr="002A32BF">
        <w:rPr>
          <w:sz w:val="22"/>
          <w:szCs w:val="22"/>
          <w:lang w:val="et-EE"/>
        </w:rPr>
        <w:t xml:space="preserve">Lepinguga ei ole lubatud etteprognoositav süstemaatiline elektrienergia ost või müük. </w:t>
      </w:r>
    </w:p>
    <w:p w14:paraId="6D8620D7" w14:textId="77777777" w:rsidR="00F30CFC" w:rsidRPr="002A32BF" w:rsidRDefault="00F30CFC" w:rsidP="00F30CFC">
      <w:pPr>
        <w:rPr>
          <w:sz w:val="22"/>
          <w:szCs w:val="22"/>
        </w:rPr>
      </w:pPr>
    </w:p>
    <w:p w14:paraId="4DA6BE62" w14:textId="77777777" w:rsidR="00F30CFC" w:rsidRPr="002A32BF" w:rsidRDefault="00F30CFC" w:rsidP="00F30CFC">
      <w:pPr>
        <w:pStyle w:val="Heading2"/>
        <w:numPr>
          <w:ilvl w:val="0"/>
          <w:numId w:val="21"/>
        </w:numPr>
        <w:spacing w:after="120"/>
        <w:rPr>
          <w:b/>
          <w:sz w:val="22"/>
          <w:szCs w:val="22"/>
          <w:lang w:val="et-EE"/>
        </w:rPr>
      </w:pPr>
      <w:r w:rsidRPr="002A32BF">
        <w:rPr>
          <w:b/>
          <w:sz w:val="22"/>
          <w:szCs w:val="22"/>
          <w:lang w:val="et-EE"/>
        </w:rPr>
        <w:t>Poolte õigused ja kohustused</w:t>
      </w:r>
    </w:p>
    <w:p w14:paraId="10E28D32" w14:textId="77777777" w:rsidR="00F30CFC" w:rsidRPr="002A32BF" w:rsidRDefault="00F30CFC" w:rsidP="00F30CFC">
      <w:pPr>
        <w:pStyle w:val="Heading2"/>
        <w:numPr>
          <w:ilvl w:val="1"/>
          <w:numId w:val="21"/>
        </w:numPr>
        <w:spacing w:after="120"/>
        <w:rPr>
          <w:sz w:val="22"/>
          <w:szCs w:val="22"/>
          <w:lang w:val="et-EE"/>
        </w:rPr>
      </w:pPr>
      <w:r w:rsidRPr="002A32BF">
        <w:rPr>
          <w:sz w:val="22"/>
          <w:szCs w:val="22"/>
          <w:lang w:val="et-EE"/>
        </w:rPr>
        <w:t>Punktis 1.1 sätestatud teenuse osutamise täpsemad tingimused ning süsteemihalduri ja bilansihalduri õigused ja koh</w:t>
      </w:r>
      <w:r w:rsidR="008E0BDD" w:rsidRPr="002A32BF">
        <w:rPr>
          <w:sz w:val="22"/>
          <w:szCs w:val="22"/>
          <w:lang w:val="et-EE"/>
        </w:rPr>
        <w:t xml:space="preserve">ustused on määratletud punktis </w:t>
      </w:r>
      <w:r w:rsidR="00B40BE7" w:rsidRPr="002A32BF">
        <w:rPr>
          <w:sz w:val="22"/>
          <w:szCs w:val="22"/>
          <w:lang w:val="et-EE"/>
        </w:rPr>
        <w:t>4</w:t>
      </w:r>
      <w:r w:rsidRPr="002A32BF">
        <w:rPr>
          <w:sz w:val="22"/>
          <w:szCs w:val="22"/>
          <w:lang w:val="et-EE"/>
        </w:rPr>
        <w:t xml:space="preserve"> sätestatud lepingu lahutamatute lisadega ning Elering AS “Elektrienergia bilansilepingu tüüptingimustega” (edaspidi: </w:t>
      </w:r>
      <w:r w:rsidRPr="002A32BF">
        <w:rPr>
          <w:b/>
          <w:sz w:val="22"/>
          <w:szCs w:val="22"/>
          <w:lang w:val="et-EE"/>
        </w:rPr>
        <w:t>tüüptingimused</w:t>
      </w:r>
      <w:r w:rsidRPr="002A32BF">
        <w:rPr>
          <w:sz w:val="22"/>
          <w:szCs w:val="22"/>
          <w:lang w:val="et-EE"/>
        </w:rPr>
        <w:t>), mida kohaldatakse käesolevale lepingule ning millised on kättesaadavad süsteemihalduri veebilehel www.elering.ee.</w:t>
      </w:r>
    </w:p>
    <w:p w14:paraId="5E4F779A" w14:textId="77777777" w:rsidR="00F30CFC" w:rsidRPr="002A32BF" w:rsidRDefault="00F30CFC" w:rsidP="00F30CFC">
      <w:pPr>
        <w:pStyle w:val="Heading2"/>
        <w:numPr>
          <w:ilvl w:val="1"/>
          <w:numId w:val="21"/>
        </w:numPr>
        <w:spacing w:after="120"/>
        <w:ind w:left="340"/>
        <w:rPr>
          <w:sz w:val="22"/>
          <w:szCs w:val="22"/>
          <w:lang w:val="et-EE"/>
        </w:rPr>
      </w:pPr>
      <w:r w:rsidRPr="002A32BF">
        <w:rPr>
          <w:sz w:val="22"/>
          <w:szCs w:val="22"/>
          <w:lang w:val="et-EE"/>
        </w:rPr>
        <w:t>Lepingule kohaldatakse sündmuse või toimingu tegemise ajal kehtivaid tüüptingimusi.</w:t>
      </w:r>
    </w:p>
    <w:p w14:paraId="29AC30E1" w14:textId="77777777" w:rsidR="00DD5E53" w:rsidRPr="002A32BF" w:rsidRDefault="00DD5E53" w:rsidP="006C1900">
      <w:pPr>
        <w:spacing w:before="120" w:after="120"/>
        <w:rPr>
          <w:sz w:val="22"/>
          <w:szCs w:val="22"/>
        </w:rPr>
      </w:pPr>
    </w:p>
    <w:p w14:paraId="4DDBEAB9" w14:textId="77777777" w:rsidR="00DD5E53" w:rsidRPr="002A32BF" w:rsidRDefault="00DD5E53" w:rsidP="00D756E1">
      <w:pPr>
        <w:pStyle w:val="Heading1"/>
        <w:numPr>
          <w:ilvl w:val="0"/>
          <w:numId w:val="21"/>
        </w:numPr>
        <w:spacing w:before="120" w:after="120"/>
        <w:jc w:val="both"/>
        <w:rPr>
          <w:sz w:val="22"/>
          <w:szCs w:val="22"/>
        </w:rPr>
      </w:pPr>
      <w:r w:rsidRPr="002A32BF">
        <w:rPr>
          <w:sz w:val="22"/>
          <w:szCs w:val="22"/>
        </w:rPr>
        <w:t>Lepingu kehtivus</w:t>
      </w:r>
    </w:p>
    <w:p w14:paraId="08C8A3E3" w14:textId="77777777" w:rsidR="00F30CFC" w:rsidRPr="002A32BF" w:rsidRDefault="00D90430" w:rsidP="00F30CFC">
      <w:pPr>
        <w:pStyle w:val="Heading2"/>
        <w:numPr>
          <w:ilvl w:val="1"/>
          <w:numId w:val="21"/>
        </w:numPr>
        <w:spacing w:after="120"/>
        <w:ind w:left="340"/>
        <w:rPr>
          <w:sz w:val="22"/>
          <w:szCs w:val="22"/>
          <w:lang w:val="et-EE"/>
        </w:rPr>
      </w:pPr>
      <w:r w:rsidRPr="002A32BF">
        <w:rPr>
          <w:sz w:val="22"/>
          <w:szCs w:val="22"/>
          <w:lang w:val="et-EE"/>
        </w:rPr>
        <w:t xml:space="preserve">Leping on sõlmitud </w:t>
      </w:r>
      <w:r w:rsidR="00B40BE7" w:rsidRPr="002A32BF">
        <w:rPr>
          <w:sz w:val="22"/>
          <w:szCs w:val="22"/>
          <w:lang w:val="et-EE"/>
        </w:rPr>
        <w:t>neljal</w:t>
      </w:r>
      <w:r w:rsidRPr="002A32BF">
        <w:rPr>
          <w:sz w:val="22"/>
          <w:szCs w:val="22"/>
          <w:lang w:val="et-EE"/>
        </w:rPr>
        <w:t xml:space="preserve"> (</w:t>
      </w:r>
      <w:r w:rsidR="00B40BE7" w:rsidRPr="002A32BF">
        <w:rPr>
          <w:sz w:val="22"/>
          <w:szCs w:val="22"/>
          <w:lang w:val="et-EE"/>
        </w:rPr>
        <w:t>4</w:t>
      </w:r>
      <w:r w:rsidR="00F30CFC" w:rsidRPr="002A32BF">
        <w:rPr>
          <w:sz w:val="22"/>
          <w:szCs w:val="22"/>
          <w:lang w:val="et-EE"/>
        </w:rPr>
        <w:t>) lehel kahes (2) võrdset jõudu omavas eksemplaris, millest ühe saab süsteemihaldur ja teise bilansihaldur.</w:t>
      </w:r>
    </w:p>
    <w:p w14:paraId="1443E56D" w14:textId="77777777" w:rsidR="00F30CFC" w:rsidRPr="002A32BF" w:rsidRDefault="00F30CFC" w:rsidP="00F30CFC">
      <w:pPr>
        <w:pStyle w:val="Heading2"/>
        <w:numPr>
          <w:ilvl w:val="1"/>
          <w:numId w:val="21"/>
        </w:numPr>
        <w:spacing w:after="120"/>
        <w:ind w:left="340"/>
        <w:rPr>
          <w:sz w:val="22"/>
          <w:szCs w:val="22"/>
          <w:lang w:val="et-EE"/>
        </w:rPr>
      </w:pPr>
      <w:r w:rsidRPr="002A32BF">
        <w:rPr>
          <w:sz w:val="22"/>
          <w:szCs w:val="22"/>
          <w:lang w:val="et-EE"/>
        </w:rPr>
        <w:t>Leping loetakse sõlmituks poolte poolt allakirjutamise hetkest. Leping jõustub tüüptingimustes sätestatud tähtajal ja korras. Leping on sõlmitud määramata tähtajaks.</w:t>
      </w:r>
    </w:p>
    <w:p w14:paraId="0BC555A7" w14:textId="77777777" w:rsidR="00D453D1" w:rsidRPr="002A32BF" w:rsidRDefault="00D453D1" w:rsidP="008E0BDD">
      <w:pPr>
        <w:pStyle w:val="Heading2"/>
        <w:numPr>
          <w:ilvl w:val="1"/>
          <w:numId w:val="21"/>
        </w:numPr>
        <w:spacing w:after="120"/>
        <w:rPr>
          <w:sz w:val="22"/>
          <w:szCs w:val="22"/>
          <w:lang w:val="et-EE"/>
        </w:rPr>
      </w:pPr>
      <w:r w:rsidRPr="002A32BF">
        <w:rPr>
          <w:sz w:val="22"/>
          <w:szCs w:val="22"/>
          <w:lang w:val="et-EE"/>
        </w:rPr>
        <w:t>Bilansihaldur on kohustatud esitama süsteemihaldurile hiljemalt lepingu jõustumise päevaks püsigarantiina viimase poolt aktsepteeritava panga garantii summas 31 955 eurot, mis peab kehtima kogu lepingu kehtivuse aja ja vähemalt neli kuud pärast lepingu lõppemist. Alternatiivina võib kasutada ka deposiiti süsteemihalduri kontol eelpooltoodud summa ja kehtivusaja tingimustel. Kui püsigaranti kehtib tulevikku suunatuna vähem kui neli kuud, on süsteemihalduril õigus leping ühepoolselt lõpetada.</w:t>
      </w:r>
    </w:p>
    <w:p w14:paraId="2C738CFC" w14:textId="77777777" w:rsidR="00F30CFC" w:rsidRPr="002A32BF" w:rsidRDefault="00F30CFC" w:rsidP="008E0BDD">
      <w:pPr>
        <w:pStyle w:val="Heading2"/>
        <w:numPr>
          <w:ilvl w:val="1"/>
          <w:numId w:val="21"/>
        </w:numPr>
        <w:spacing w:after="120"/>
        <w:ind w:left="340"/>
        <w:rPr>
          <w:sz w:val="22"/>
          <w:szCs w:val="22"/>
          <w:lang w:val="et-EE"/>
        </w:rPr>
      </w:pPr>
      <w:r w:rsidRPr="002A32BF">
        <w:rPr>
          <w:sz w:val="22"/>
          <w:szCs w:val="22"/>
          <w:lang w:val="et-EE"/>
        </w:rPr>
        <w:t>Lepingule allakirjutamisega kinnitab bilansihaldur, et talle on antud piisav võimalus lepingu sisuga, sealhulg</w:t>
      </w:r>
      <w:r w:rsidR="005E21C7" w:rsidRPr="002A32BF">
        <w:rPr>
          <w:sz w:val="22"/>
          <w:szCs w:val="22"/>
          <w:lang w:val="et-EE"/>
        </w:rPr>
        <w:t>as lepingu lisadega tutvumiseks</w:t>
      </w:r>
      <w:r w:rsidRPr="002A32BF">
        <w:rPr>
          <w:sz w:val="22"/>
          <w:szCs w:val="22"/>
          <w:lang w:val="et-EE"/>
        </w:rPr>
        <w:t xml:space="preserve"> ning ta on nendega tutvunud ja nende sisust aru saanud.</w:t>
      </w:r>
    </w:p>
    <w:p w14:paraId="67F4648E" w14:textId="77777777" w:rsidR="00602C4C" w:rsidRPr="002A32BF" w:rsidRDefault="00602C4C" w:rsidP="00602C4C">
      <w:pPr>
        <w:rPr>
          <w:sz w:val="22"/>
          <w:szCs w:val="22"/>
        </w:rPr>
      </w:pPr>
    </w:p>
    <w:p w14:paraId="25C28097" w14:textId="5A3F727C" w:rsidR="00D90430" w:rsidRPr="002A32BF" w:rsidRDefault="00D90430" w:rsidP="00602C4C">
      <w:pPr>
        <w:rPr>
          <w:sz w:val="22"/>
          <w:szCs w:val="22"/>
        </w:rPr>
      </w:pPr>
    </w:p>
    <w:p w14:paraId="4F17E420" w14:textId="77777777" w:rsidR="00C9304F" w:rsidRPr="002A32BF" w:rsidRDefault="00C9304F" w:rsidP="00602C4C">
      <w:pPr>
        <w:rPr>
          <w:sz w:val="22"/>
          <w:szCs w:val="22"/>
        </w:rPr>
      </w:pPr>
    </w:p>
    <w:p w14:paraId="31CBF500" w14:textId="77777777" w:rsidR="00F30CFC" w:rsidRPr="002A32BF" w:rsidRDefault="00F30CFC" w:rsidP="00D453D1">
      <w:pPr>
        <w:pStyle w:val="Heading1"/>
        <w:numPr>
          <w:ilvl w:val="0"/>
          <w:numId w:val="21"/>
        </w:numPr>
        <w:spacing w:before="120" w:after="120"/>
        <w:jc w:val="both"/>
        <w:rPr>
          <w:sz w:val="22"/>
          <w:szCs w:val="22"/>
        </w:rPr>
      </w:pPr>
      <w:r w:rsidRPr="002A32BF">
        <w:rPr>
          <w:sz w:val="22"/>
          <w:szCs w:val="22"/>
        </w:rPr>
        <w:t>Lepingu lisad</w:t>
      </w:r>
    </w:p>
    <w:p w14:paraId="7882DA29" w14:textId="77777777" w:rsidR="00F30CFC" w:rsidRPr="002A32BF" w:rsidRDefault="00F30CFC" w:rsidP="0016170D">
      <w:pPr>
        <w:numPr>
          <w:ilvl w:val="1"/>
          <w:numId w:val="21"/>
        </w:numPr>
        <w:spacing w:before="120" w:after="120"/>
        <w:jc w:val="both"/>
        <w:rPr>
          <w:sz w:val="22"/>
          <w:szCs w:val="22"/>
        </w:rPr>
      </w:pPr>
      <w:r w:rsidRPr="002A32BF">
        <w:rPr>
          <w:sz w:val="22"/>
          <w:szCs w:val="22"/>
        </w:rPr>
        <w:lastRenderedPageBreak/>
        <w:t xml:space="preserve"> Lepingu sõlmimisel on lepingu lahutamatuteks osadeks alljärgnevad lisad:</w:t>
      </w:r>
    </w:p>
    <w:p w14:paraId="4EF85CF1" w14:textId="77777777" w:rsidR="00F30CFC" w:rsidRPr="002A32BF" w:rsidRDefault="00F30CFC" w:rsidP="00F30CFC">
      <w:pPr>
        <w:ind w:left="357"/>
        <w:jc w:val="both"/>
        <w:rPr>
          <w:sz w:val="22"/>
          <w:szCs w:val="22"/>
        </w:rPr>
      </w:pPr>
      <w:r w:rsidRPr="002A32BF">
        <w:rPr>
          <w:sz w:val="22"/>
          <w:szCs w:val="22"/>
        </w:rPr>
        <w:t xml:space="preserve">Lisa 1: </w:t>
      </w:r>
      <w:r w:rsidRPr="002A32BF">
        <w:rPr>
          <w:sz w:val="22"/>
          <w:szCs w:val="22"/>
        </w:rPr>
        <w:tab/>
        <w:t>Bilansihalduri bilansipiirkond;</w:t>
      </w:r>
    </w:p>
    <w:p w14:paraId="291261BE" w14:textId="77777777" w:rsidR="00F30CFC" w:rsidRPr="002A32BF" w:rsidRDefault="00F30CFC" w:rsidP="00F30CFC">
      <w:pPr>
        <w:ind w:left="357"/>
        <w:jc w:val="both"/>
        <w:rPr>
          <w:sz w:val="22"/>
          <w:szCs w:val="22"/>
        </w:rPr>
      </w:pPr>
      <w:r w:rsidRPr="002A32BF">
        <w:rPr>
          <w:sz w:val="22"/>
          <w:szCs w:val="22"/>
        </w:rPr>
        <w:t xml:space="preserve">Lisa 2: </w:t>
      </w:r>
      <w:r w:rsidRPr="002A32BF">
        <w:rPr>
          <w:sz w:val="22"/>
          <w:szCs w:val="22"/>
        </w:rPr>
        <w:tab/>
        <w:t>Andmevahetuse vormid;</w:t>
      </w:r>
    </w:p>
    <w:p w14:paraId="413C87D8" w14:textId="77777777" w:rsidR="00F30CFC" w:rsidRPr="002A32BF" w:rsidRDefault="00F30CFC" w:rsidP="00F30CFC">
      <w:pPr>
        <w:spacing w:before="120" w:after="120"/>
        <w:ind w:left="357"/>
        <w:jc w:val="both"/>
        <w:rPr>
          <w:sz w:val="22"/>
          <w:szCs w:val="22"/>
        </w:rPr>
      </w:pPr>
    </w:p>
    <w:p w14:paraId="4A3450CB" w14:textId="77777777" w:rsidR="00F30CFC" w:rsidRPr="002A32BF" w:rsidRDefault="00F30CFC" w:rsidP="00D453D1">
      <w:pPr>
        <w:pStyle w:val="Heading1"/>
        <w:numPr>
          <w:ilvl w:val="0"/>
          <w:numId w:val="21"/>
        </w:numPr>
        <w:spacing w:before="120" w:after="120"/>
        <w:jc w:val="both"/>
        <w:rPr>
          <w:sz w:val="22"/>
          <w:szCs w:val="22"/>
        </w:rPr>
      </w:pPr>
      <w:r w:rsidRPr="002A32BF">
        <w:rPr>
          <w:sz w:val="22"/>
          <w:szCs w:val="22"/>
        </w:rPr>
        <w:t>Poolte kontaktandmed ja – isikud:</w:t>
      </w:r>
    </w:p>
    <w:p w14:paraId="540C6817" w14:textId="77777777" w:rsidR="0016170D" w:rsidRPr="002A32BF" w:rsidRDefault="00F30CFC" w:rsidP="0016170D">
      <w:pPr>
        <w:pStyle w:val="Heading2"/>
        <w:numPr>
          <w:ilvl w:val="1"/>
          <w:numId w:val="21"/>
        </w:numPr>
        <w:spacing w:after="120"/>
        <w:rPr>
          <w:sz w:val="22"/>
          <w:szCs w:val="22"/>
          <w:lang w:val="et-EE"/>
        </w:rPr>
      </w:pPr>
      <w:r w:rsidRPr="002A32BF">
        <w:rPr>
          <w:sz w:val="22"/>
          <w:szCs w:val="22"/>
          <w:lang w:val="et-EE"/>
        </w:rPr>
        <w:t xml:space="preserve">Lepingust tulenevate küsimuste lahendamiseks ja teatamiskohustuste täitmiseks on pool kohustatud hiljemalt kolme (3) tööpäeva jooksul lepingu sõlmimisest edastama teisele poolele kirjalikult omapoolsed kontaktisikud ja -andmed (telefoni- ja faksinumber, elektronposti aadress jne). </w:t>
      </w:r>
    </w:p>
    <w:p w14:paraId="7B022D38" w14:textId="77777777" w:rsidR="00F30CFC" w:rsidRPr="002A32BF" w:rsidRDefault="00F30CFC" w:rsidP="0016170D">
      <w:pPr>
        <w:pStyle w:val="Heading2"/>
        <w:numPr>
          <w:ilvl w:val="1"/>
          <w:numId w:val="21"/>
        </w:numPr>
        <w:spacing w:after="120"/>
        <w:rPr>
          <w:sz w:val="22"/>
          <w:szCs w:val="22"/>
          <w:lang w:val="et-EE"/>
        </w:rPr>
      </w:pPr>
      <w:r w:rsidRPr="002A32BF">
        <w:rPr>
          <w:sz w:val="22"/>
          <w:szCs w:val="22"/>
          <w:lang w:val="et-EE"/>
        </w:rPr>
        <w:t>Pool peab viivitamatult kirjalikult teatama teisele poole</w:t>
      </w:r>
      <w:r w:rsidR="008E0BDD" w:rsidRPr="002A32BF">
        <w:rPr>
          <w:sz w:val="22"/>
          <w:szCs w:val="22"/>
          <w:lang w:val="et-EE"/>
        </w:rPr>
        <w:t xml:space="preserve">le muudatustest lepingu punkti </w:t>
      </w:r>
      <w:r w:rsidR="00B40BE7" w:rsidRPr="002A32BF">
        <w:rPr>
          <w:sz w:val="22"/>
          <w:szCs w:val="22"/>
          <w:lang w:val="et-EE"/>
        </w:rPr>
        <w:t>5</w:t>
      </w:r>
      <w:r w:rsidRPr="002A32BF">
        <w:rPr>
          <w:sz w:val="22"/>
          <w:szCs w:val="22"/>
          <w:lang w:val="et-EE"/>
        </w:rPr>
        <w:t>.1 kohaselt teatatud kontaktisikutes või -andmetes.</w:t>
      </w:r>
    </w:p>
    <w:p w14:paraId="1D8DA8A5" w14:textId="77777777" w:rsidR="00DE2049" w:rsidRPr="002A32BF" w:rsidRDefault="00DE2049" w:rsidP="006C1900">
      <w:pPr>
        <w:rPr>
          <w:sz w:val="22"/>
          <w:szCs w:val="22"/>
        </w:rPr>
      </w:pPr>
    </w:p>
    <w:p w14:paraId="5E8B799D" w14:textId="77777777" w:rsidR="00F30CFC" w:rsidRPr="002A32BF" w:rsidRDefault="00F30CFC" w:rsidP="006C1900">
      <w:pPr>
        <w:rPr>
          <w:sz w:val="22"/>
          <w:szCs w:val="22"/>
        </w:rPr>
      </w:pPr>
    </w:p>
    <w:p w14:paraId="27C5544D" w14:textId="77777777" w:rsidR="00F30CFC" w:rsidRPr="002A32BF" w:rsidRDefault="00F30CFC" w:rsidP="006C1900">
      <w:pPr>
        <w:rPr>
          <w:sz w:val="22"/>
          <w:szCs w:val="22"/>
        </w:rPr>
      </w:pPr>
    </w:p>
    <w:p w14:paraId="583FE6C3" w14:textId="77777777" w:rsidR="00DD5E53" w:rsidRPr="002A32BF" w:rsidRDefault="00DD5E53" w:rsidP="0016170D">
      <w:pPr>
        <w:pStyle w:val="Heading1"/>
        <w:numPr>
          <w:ilvl w:val="0"/>
          <w:numId w:val="21"/>
        </w:numPr>
        <w:spacing w:before="120" w:after="120"/>
        <w:jc w:val="both"/>
        <w:rPr>
          <w:sz w:val="22"/>
          <w:szCs w:val="22"/>
        </w:rPr>
      </w:pPr>
      <w:r w:rsidRPr="002A32BF">
        <w:rPr>
          <w:sz w:val="22"/>
          <w:szCs w:val="22"/>
        </w:rPr>
        <w:t>Poolte allkirjad:</w:t>
      </w:r>
    </w:p>
    <w:p w14:paraId="2684AA0C" w14:textId="77777777" w:rsidR="00DD5E53" w:rsidRPr="002A32BF" w:rsidRDefault="00DD5E53" w:rsidP="006C1900">
      <w:pPr>
        <w:spacing w:before="120" w:after="120"/>
        <w:jc w:val="both"/>
        <w:rPr>
          <w:sz w:val="22"/>
          <w:szCs w:val="22"/>
        </w:rPr>
      </w:pPr>
    </w:p>
    <w:p w14:paraId="4A7C54B7" w14:textId="77777777" w:rsidR="00DD5E53" w:rsidRPr="002A32BF" w:rsidRDefault="00DD5E53" w:rsidP="006C1900">
      <w:pPr>
        <w:spacing w:before="120" w:after="120"/>
        <w:jc w:val="both"/>
        <w:rPr>
          <w:sz w:val="22"/>
          <w:szCs w:val="22"/>
        </w:rPr>
      </w:pPr>
    </w:p>
    <w:p w14:paraId="1ECADFD4" w14:textId="77777777" w:rsidR="002C6894" w:rsidRPr="002A32BF" w:rsidRDefault="002C6894" w:rsidP="002C6894">
      <w:pPr>
        <w:spacing w:before="120" w:after="120"/>
        <w:jc w:val="both"/>
        <w:rPr>
          <w:b/>
          <w:bCs/>
          <w:sz w:val="22"/>
          <w:szCs w:val="22"/>
        </w:rPr>
      </w:pPr>
      <w:r w:rsidRPr="002A32BF">
        <w:rPr>
          <w:b/>
          <w:bCs/>
          <w:sz w:val="22"/>
          <w:szCs w:val="22"/>
        </w:rPr>
        <w:t>Süsteemihaldur</w:t>
      </w:r>
      <w:r w:rsidRPr="002A32BF">
        <w:rPr>
          <w:b/>
          <w:bCs/>
          <w:sz w:val="22"/>
          <w:szCs w:val="22"/>
        </w:rPr>
        <w:tab/>
      </w:r>
      <w:r w:rsidRPr="002A32BF">
        <w:rPr>
          <w:b/>
          <w:bCs/>
          <w:sz w:val="22"/>
          <w:szCs w:val="22"/>
        </w:rPr>
        <w:tab/>
      </w:r>
      <w:r w:rsidRPr="002A32BF">
        <w:rPr>
          <w:b/>
          <w:bCs/>
          <w:sz w:val="22"/>
          <w:szCs w:val="22"/>
        </w:rPr>
        <w:tab/>
      </w:r>
      <w:r w:rsidRPr="002A32BF">
        <w:rPr>
          <w:b/>
          <w:bCs/>
          <w:sz w:val="22"/>
          <w:szCs w:val="22"/>
        </w:rPr>
        <w:tab/>
        <w:t>Bilansihaldur</w:t>
      </w:r>
    </w:p>
    <w:p w14:paraId="67F97858" w14:textId="77777777" w:rsidR="002C6894" w:rsidRPr="002A32BF" w:rsidRDefault="002C6894" w:rsidP="002C6894">
      <w:pPr>
        <w:tabs>
          <w:tab w:val="left" w:pos="567"/>
        </w:tabs>
        <w:spacing w:before="120" w:after="120"/>
        <w:jc w:val="both"/>
        <w:rPr>
          <w:sz w:val="22"/>
          <w:szCs w:val="22"/>
        </w:rPr>
      </w:pPr>
      <w:r w:rsidRPr="002A32BF">
        <w:rPr>
          <w:sz w:val="22"/>
          <w:szCs w:val="22"/>
        </w:rPr>
        <w:tab/>
      </w:r>
    </w:p>
    <w:p w14:paraId="688AA7E0" w14:textId="77777777" w:rsidR="002C6894" w:rsidRPr="002A32BF" w:rsidRDefault="002C6894" w:rsidP="002C6894">
      <w:pPr>
        <w:tabs>
          <w:tab w:val="left" w:pos="567"/>
        </w:tabs>
        <w:spacing w:before="120" w:after="120"/>
        <w:jc w:val="both"/>
        <w:rPr>
          <w:b/>
          <w:bCs/>
        </w:rPr>
      </w:pPr>
    </w:p>
    <w:tbl>
      <w:tblPr>
        <w:tblW w:w="0" w:type="auto"/>
        <w:jc w:val="center"/>
        <w:tblLook w:val="00A0" w:firstRow="1" w:lastRow="0" w:firstColumn="1" w:lastColumn="0" w:noHBand="0" w:noVBand="0"/>
      </w:tblPr>
      <w:tblGrid>
        <w:gridCol w:w="4059"/>
        <w:gridCol w:w="4489"/>
      </w:tblGrid>
      <w:tr w:rsidR="002C6894" w:rsidRPr="002A32BF" w14:paraId="4C0E7D11" w14:textId="77777777" w:rsidTr="00964D31">
        <w:trPr>
          <w:jc w:val="center"/>
        </w:trPr>
        <w:tc>
          <w:tcPr>
            <w:tcW w:w="4068" w:type="dxa"/>
          </w:tcPr>
          <w:p w14:paraId="2A572966" w14:textId="77777777" w:rsidR="002C6894" w:rsidRPr="002A32BF" w:rsidRDefault="002C6894" w:rsidP="00964D31">
            <w:pPr>
              <w:rPr>
                <w:sz w:val="22"/>
                <w:szCs w:val="22"/>
              </w:rPr>
            </w:pPr>
            <w:r w:rsidRPr="002A32BF">
              <w:rPr>
                <w:sz w:val="22"/>
                <w:szCs w:val="22"/>
              </w:rPr>
              <w:t>/allkirjastatud digitaalselt/</w:t>
            </w:r>
            <w:r w:rsidRPr="002A32BF">
              <w:rPr>
                <w:sz w:val="22"/>
                <w:szCs w:val="22"/>
              </w:rPr>
              <w:tab/>
            </w:r>
          </w:p>
        </w:tc>
        <w:tc>
          <w:tcPr>
            <w:tcW w:w="4500" w:type="dxa"/>
          </w:tcPr>
          <w:p w14:paraId="6CDBEC8B" w14:textId="77777777" w:rsidR="002C6894" w:rsidRPr="002A32BF" w:rsidRDefault="002C6894" w:rsidP="00964D31">
            <w:pPr>
              <w:rPr>
                <w:sz w:val="22"/>
                <w:szCs w:val="22"/>
              </w:rPr>
            </w:pPr>
            <w:r w:rsidRPr="002A32BF">
              <w:rPr>
                <w:sz w:val="22"/>
                <w:szCs w:val="22"/>
              </w:rPr>
              <w:t>/allkirjastatud digitaalselt/</w:t>
            </w:r>
          </w:p>
        </w:tc>
      </w:tr>
      <w:tr w:rsidR="002C6894" w:rsidRPr="002A32BF" w14:paraId="07005B5D" w14:textId="77777777" w:rsidTr="00964D31">
        <w:trPr>
          <w:jc w:val="center"/>
        </w:trPr>
        <w:tc>
          <w:tcPr>
            <w:tcW w:w="4068" w:type="dxa"/>
          </w:tcPr>
          <w:p w14:paraId="62E0D6A8" w14:textId="77777777" w:rsidR="002C6894" w:rsidRPr="002A32BF" w:rsidRDefault="002C6894" w:rsidP="00964D31">
            <w:pPr>
              <w:rPr>
                <w:sz w:val="22"/>
                <w:szCs w:val="22"/>
              </w:rPr>
            </w:pPr>
            <w:r w:rsidRPr="002A32BF">
              <w:rPr>
                <w:sz w:val="22"/>
                <w:szCs w:val="22"/>
              </w:rPr>
              <w:t xml:space="preserve">Taavi Veskimägi </w:t>
            </w:r>
          </w:p>
          <w:p w14:paraId="6697D0EF" w14:textId="77777777" w:rsidR="002C6894" w:rsidRPr="002A32BF" w:rsidRDefault="002C6894" w:rsidP="00964D31">
            <w:pPr>
              <w:rPr>
                <w:sz w:val="22"/>
                <w:szCs w:val="22"/>
              </w:rPr>
            </w:pPr>
          </w:p>
        </w:tc>
        <w:tc>
          <w:tcPr>
            <w:tcW w:w="4500" w:type="dxa"/>
          </w:tcPr>
          <w:p w14:paraId="69373BDC" w14:textId="5C24C513" w:rsidR="002C6894" w:rsidRPr="002A32BF" w:rsidRDefault="009E4D70" w:rsidP="00964D31">
            <w:pPr>
              <w:rPr>
                <w:sz w:val="22"/>
                <w:szCs w:val="22"/>
              </w:rPr>
            </w:pPr>
            <w:r w:rsidRPr="009E4D70">
              <w:rPr>
                <w:sz w:val="22"/>
                <w:szCs w:val="22"/>
                <w:highlight w:val="yellow"/>
              </w:rPr>
              <w:t>…..</w:t>
            </w:r>
          </w:p>
        </w:tc>
      </w:tr>
    </w:tbl>
    <w:p w14:paraId="33BDBC9A" w14:textId="77777777" w:rsidR="00DD5E53" w:rsidRPr="002A32BF" w:rsidRDefault="00DD5E53" w:rsidP="006C1900">
      <w:pPr>
        <w:tabs>
          <w:tab w:val="left" w:pos="567"/>
        </w:tabs>
        <w:spacing w:before="120" w:after="120"/>
        <w:jc w:val="both"/>
        <w:rPr>
          <w:b/>
          <w:bCs/>
        </w:rPr>
      </w:pPr>
    </w:p>
    <w:p w14:paraId="10F9342B" w14:textId="77777777" w:rsidR="00DD5E53" w:rsidRPr="002A32BF" w:rsidRDefault="00DD5E53" w:rsidP="00B85178">
      <w:pPr>
        <w:pStyle w:val="BodyText"/>
        <w:rPr>
          <w:sz w:val="22"/>
          <w:szCs w:val="22"/>
          <w:lang w:val="et-EE"/>
        </w:rPr>
      </w:pPr>
    </w:p>
    <w:p w14:paraId="43530F64" w14:textId="77777777" w:rsidR="00DD5E53" w:rsidRPr="002A32BF" w:rsidRDefault="00DD5E53" w:rsidP="00B85178">
      <w:pPr>
        <w:ind w:left="1080"/>
        <w:jc w:val="both"/>
        <w:rPr>
          <w:sz w:val="22"/>
          <w:szCs w:val="22"/>
        </w:rPr>
      </w:pPr>
    </w:p>
    <w:p w14:paraId="64824AE3" w14:textId="77777777" w:rsidR="00E83C2D" w:rsidRPr="002A32BF" w:rsidRDefault="00DD5E53" w:rsidP="00E95DAF">
      <w:pPr>
        <w:pStyle w:val="Heading1"/>
        <w:numPr>
          <w:ilvl w:val="0"/>
          <w:numId w:val="0"/>
        </w:numPr>
        <w:spacing w:before="120" w:after="120"/>
        <w:jc w:val="right"/>
        <w:rPr>
          <w:sz w:val="22"/>
          <w:szCs w:val="22"/>
        </w:rPr>
      </w:pPr>
      <w:r w:rsidRPr="002A32BF">
        <w:rPr>
          <w:sz w:val="22"/>
          <w:szCs w:val="22"/>
        </w:rPr>
        <w:br w:type="page"/>
      </w:r>
      <w:bookmarkEnd w:id="0"/>
      <w:r w:rsidR="00F30CFC" w:rsidRPr="002A32BF">
        <w:rPr>
          <w:sz w:val="22"/>
          <w:szCs w:val="22"/>
        </w:rPr>
        <w:lastRenderedPageBreak/>
        <w:t xml:space="preserve">Lisa 1 Bilansihalduri bilansipiirkond </w:t>
      </w:r>
    </w:p>
    <w:p w14:paraId="757FE551" w14:textId="77777777" w:rsidR="00E95DAF" w:rsidRPr="002A32BF" w:rsidRDefault="00E95DAF" w:rsidP="00E95DAF">
      <w:pPr>
        <w:pStyle w:val="Default"/>
        <w:rPr>
          <w:rFonts w:ascii="Times New Roman" w:hAnsi="Times New Roman" w:cs="Times New Roman"/>
        </w:rPr>
      </w:pPr>
    </w:p>
    <w:p w14:paraId="468D421F" w14:textId="77777777" w:rsidR="00E95DAF" w:rsidRPr="002A32BF" w:rsidRDefault="00E95DAF" w:rsidP="00F2673F">
      <w:pPr>
        <w:pStyle w:val="Default"/>
        <w:numPr>
          <w:ilvl w:val="0"/>
          <w:numId w:val="17"/>
        </w:numPr>
        <w:jc w:val="both"/>
        <w:rPr>
          <w:rFonts w:ascii="Times New Roman" w:hAnsi="Times New Roman" w:cs="Times New Roman"/>
          <w:sz w:val="22"/>
          <w:szCs w:val="22"/>
        </w:rPr>
      </w:pPr>
      <w:r w:rsidRPr="002A32BF">
        <w:rPr>
          <w:rFonts w:ascii="Times New Roman" w:hAnsi="Times New Roman" w:cs="Times New Roman"/>
          <w:sz w:val="22"/>
          <w:szCs w:val="22"/>
        </w:rPr>
        <w:t xml:space="preserve">Bilansihalduri bilansipiirkond on määratud bilansihalduri bilansipiirkonnas olevate turuosaliste piirimõõtepunktidega. Kui bilansipiirkonnas oleva turuosalisega on omakorda liitunud teiste bilansihaldurite bilansipiirkonnas olevad turuosalised, siis nende mõõtepunktid on bilansihalduri bilansipiirkonnast lahutatud. </w:t>
      </w:r>
    </w:p>
    <w:p w14:paraId="342E761B" w14:textId="77777777" w:rsidR="00E83C2D" w:rsidRPr="002A32BF" w:rsidRDefault="00E83C2D" w:rsidP="00F2673F">
      <w:pPr>
        <w:jc w:val="both"/>
        <w:rPr>
          <w:sz w:val="22"/>
          <w:szCs w:val="22"/>
        </w:rPr>
      </w:pPr>
    </w:p>
    <w:p w14:paraId="7575B14A" w14:textId="77777777" w:rsidR="00E83C2D" w:rsidRPr="002A32BF" w:rsidRDefault="00F30CFC" w:rsidP="00F2673F">
      <w:pPr>
        <w:numPr>
          <w:ilvl w:val="0"/>
          <w:numId w:val="17"/>
        </w:numPr>
        <w:jc w:val="both"/>
        <w:rPr>
          <w:sz w:val="22"/>
          <w:szCs w:val="22"/>
        </w:rPr>
      </w:pPr>
      <w:r w:rsidRPr="002A32BF">
        <w:rPr>
          <w:sz w:val="22"/>
          <w:szCs w:val="22"/>
        </w:rPr>
        <w:t xml:space="preserve">Bilansihalduri bilansipiirkonna summaarne määratud tarne arvutatakse igaks kauplemisperioodiks bilansipiirkonnast väljuvate ja sisenevate elektrienergia määratud tarnete summana, kusjuures bilansipiirkonnast väljuv elektrienergia kogus arvestatakse “+” märgiga ja sisenev elektrienergia kogus arvestatakse “-“ märgiga. </w:t>
      </w:r>
    </w:p>
    <w:p w14:paraId="3F1F48A9" w14:textId="77777777" w:rsidR="00E95DAF" w:rsidRPr="002A32BF" w:rsidRDefault="00E95DAF" w:rsidP="00F2673F">
      <w:pPr>
        <w:pStyle w:val="Default"/>
        <w:jc w:val="both"/>
        <w:rPr>
          <w:rFonts w:ascii="Times New Roman" w:hAnsi="Times New Roman" w:cs="Times New Roman"/>
        </w:rPr>
      </w:pPr>
    </w:p>
    <w:p w14:paraId="2E336113" w14:textId="77777777" w:rsidR="00E95DAF" w:rsidRPr="002A32BF" w:rsidRDefault="00E95DAF" w:rsidP="00F2673F">
      <w:pPr>
        <w:pStyle w:val="Default"/>
        <w:numPr>
          <w:ilvl w:val="0"/>
          <w:numId w:val="17"/>
        </w:numPr>
        <w:jc w:val="both"/>
        <w:rPr>
          <w:rFonts w:ascii="Times New Roman" w:hAnsi="Times New Roman" w:cs="Times New Roman"/>
          <w:sz w:val="22"/>
          <w:szCs w:val="22"/>
        </w:rPr>
      </w:pPr>
      <w:r w:rsidRPr="002A32BF">
        <w:rPr>
          <w:rFonts w:ascii="Times New Roman" w:hAnsi="Times New Roman" w:cs="Times New Roman"/>
          <w:sz w:val="22"/>
          <w:szCs w:val="22"/>
        </w:rPr>
        <w:t>Bilansipiirkonnas toodetud elektrienergia kogus arvestatakse “+” märgiga (võrguettevõtja mõõteandmetes „</w:t>
      </w:r>
      <w:proofErr w:type="spellStart"/>
      <w:r w:rsidRPr="002A32BF">
        <w:rPr>
          <w:rFonts w:ascii="Times New Roman" w:hAnsi="Times New Roman" w:cs="Times New Roman"/>
          <w:sz w:val="22"/>
          <w:szCs w:val="22"/>
        </w:rPr>
        <w:t>Pin</w:t>
      </w:r>
      <w:proofErr w:type="spellEnd"/>
      <w:r w:rsidRPr="002A32BF">
        <w:rPr>
          <w:rFonts w:ascii="Times New Roman" w:hAnsi="Times New Roman" w:cs="Times New Roman"/>
          <w:sz w:val="22"/>
          <w:szCs w:val="22"/>
        </w:rPr>
        <w:t xml:space="preserve">“) ja tarbitud elektrienergia kogus arvestatakse “-“ (võrguettevõtja mõõteandmetes „Pout“) märgiga. </w:t>
      </w:r>
    </w:p>
    <w:p w14:paraId="041FDC0A" w14:textId="77777777" w:rsidR="00E95DAF" w:rsidRPr="002A32BF" w:rsidRDefault="00E95DAF" w:rsidP="00F2673F">
      <w:pPr>
        <w:pStyle w:val="Default"/>
        <w:jc w:val="both"/>
        <w:rPr>
          <w:rFonts w:ascii="Times New Roman" w:hAnsi="Times New Roman" w:cs="Times New Roman"/>
        </w:rPr>
      </w:pPr>
    </w:p>
    <w:p w14:paraId="55491FB5" w14:textId="77777777" w:rsidR="00E95DAF" w:rsidRPr="002A32BF" w:rsidRDefault="00E95DAF" w:rsidP="00F2673F">
      <w:pPr>
        <w:numPr>
          <w:ilvl w:val="0"/>
          <w:numId w:val="17"/>
        </w:numPr>
        <w:jc w:val="both"/>
        <w:rPr>
          <w:sz w:val="22"/>
          <w:szCs w:val="22"/>
        </w:rPr>
      </w:pPr>
      <w:r w:rsidRPr="002A32BF">
        <w:rPr>
          <w:sz w:val="22"/>
          <w:szCs w:val="22"/>
        </w:rPr>
        <w:t xml:space="preserve">Bilansipiirkonna muudatuse esitamise eelduseks on, et bilansihaldur on esitanud bilansipiirkonna muudatusest teate õigusaktides ja tüüptingimustes sätestatud korras. </w:t>
      </w:r>
    </w:p>
    <w:p w14:paraId="715245CE" w14:textId="77777777" w:rsidR="00E95DAF" w:rsidRPr="002A32BF" w:rsidRDefault="00E95DAF" w:rsidP="00F2673F">
      <w:pPr>
        <w:pStyle w:val="ListParagraph"/>
        <w:jc w:val="both"/>
        <w:rPr>
          <w:sz w:val="22"/>
          <w:szCs w:val="22"/>
        </w:rPr>
      </w:pPr>
    </w:p>
    <w:p w14:paraId="7C4CF4FB" w14:textId="77777777" w:rsidR="00E95DAF" w:rsidRPr="002A32BF" w:rsidRDefault="00E95DAF" w:rsidP="00F2673F">
      <w:pPr>
        <w:numPr>
          <w:ilvl w:val="0"/>
          <w:numId w:val="17"/>
        </w:numPr>
        <w:jc w:val="both"/>
        <w:rPr>
          <w:sz w:val="22"/>
          <w:szCs w:val="22"/>
        </w:rPr>
      </w:pPr>
      <w:r w:rsidRPr="002A32BF">
        <w:rPr>
          <w:sz w:val="22"/>
          <w:szCs w:val="22"/>
        </w:rPr>
        <w:t>Bilansipiirkonna andmed hallatakse andmevahetusplatvormis.</w:t>
      </w:r>
    </w:p>
    <w:p w14:paraId="2F5F38D8" w14:textId="77777777" w:rsidR="00E95DAF" w:rsidRPr="002A32BF" w:rsidRDefault="00E95DAF" w:rsidP="00E95DAF">
      <w:pPr>
        <w:pStyle w:val="Default"/>
        <w:ind w:left="360"/>
        <w:rPr>
          <w:rFonts w:ascii="Times New Roman" w:hAnsi="Times New Roman" w:cs="Times New Roman"/>
          <w:sz w:val="22"/>
          <w:szCs w:val="22"/>
        </w:rPr>
      </w:pPr>
    </w:p>
    <w:p w14:paraId="73149374" w14:textId="77777777" w:rsidR="00E95DAF" w:rsidRPr="002A32BF" w:rsidRDefault="00E95DAF" w:rsidP="00E95DAF">
      <w:pPr>
        <w:ind w:left="360"/>
        <w:jc w:val="both"/>
        <w:rPr>
          <w:sz w:val="22"/>
          <w:szCs w:val="22"/>
        </w:rPr>
      </w:pPr>
    </w:p>
    <w:p w14:paraId="7769B2F0" w14:textId="77777777" w:rsidR="009954B6" w:rsidRPr="002A32BF" w:rsidRDefault="009954B6" w:rsidP="009954B6">
      <w:pPr>
        <w:pStyle w:val="ListParagraph"/>
        <w:rPr>
          <w:sz w:val="22"/>
          <w:szCs w:val="22"/>
        </w:rPr>
      </w:pPr>
    </w:p>
    <w:p w14:paraId="2D028D4F" w14:textId="77777777" w:rsidR="00E83C2D" w:rsidRPr="002A32BF" w:rsidRDefault="00E83C2D" w:rsidP="00E83C2D">
      <w:pPr>
        <w:ind w:left="360"/>
        <w:jc w:val="both"/>
        <w:rPr>
          <w:sz w:val="22"/>
          <w:szCs w:val="22"/>
        </w:rPr>
      </w:pPr>
    </w:p>
    <w:p w14:paraId="55F3EDBC" w14:textId="77777777" w:rsidR="00E83C2D" w:rsidRPr="002A32BF" w:rsidRDefault="00E83C2D" w:rsidP="00E83C2D">
      <w:pPr>
        <w:ind w:left="360"/>
        <w:jc w:val="both"/>
        <w:rPr>
          <w:sz w:val="22"/>
          <w:szCs w:val="22"/>
        </w:rPr>
      </w:pPr>
    </w:p>
    <w:p w14:paraId="09F41D91" w14:textId="77777777" w:rsidR="00E83C2D" w:rsidRPr="002A32BF" w:rsidRDefault="00E83C2D" w:rsidP="00E83C2D">
      <w:pPr>
        <w:ind w:left="360"/>
        <w:jc w:val="both"/>
        <w:rPr>
          <w:sz w:val="22"/>
          <w:szCs w:val="22"/>
        </w:rPr>
      </w:pPr>
    </w:p>
    <w:p w14:paraId="751EF61A" w14:textId="77777777" w:rsidR="00E83C2D" w:rsidRPr="002A32BF" w:rsidRDefault="00E83C2D" w:rsidP="00E83C2D">
      <w:pPr>
        <w:ind w:left="360"/>
        <w:jc w:val="both"/>
        <w:rPr>
          <w:sz w:val="22"/>
          <w:szCs w:val="22"/>
        </w:rPr>
      </w:pPr>
    </w:p>
    <w:p w14:paraId="3FD426A7" w14:textId="77777777" w:rsidR="00E83C2D" w:rsidRPr="002A32BF" w:rsidRDefault="00E83C2D" w:rsidP="00E83C2D">
      <w:pPr>
        <w:ind w:left="360"/>
        <w:jc w:val="both"/>
        <w:rPr>
          <w:sz w:val="22"/>
          <w:szCs w:val="22"/>
        </w:rPr>
      </w:pPr>
    </w:p>
    <w:p w14:paraId="48DB9B07" w14:textId="77777777" w:rsidR="00F30CFC" w:rsidRPr="002A32BF" w:rsidRDefault="00F30CFC" w:rsidP="00F30CFC">
      <w:pPr>
        <w:pStyle w:val="ListParagraph"/>
        <w:spacing w:before="120" w:after="120"/>
        <w:ind w:left="0"/>
        <w:jc w:val="both"/>
        <w:rPr>
          <w:sz w:val="22"/>
          <w:szCs w:val="22"/>
        </w:rPr>
      </w:pPr>
    </w:p>
    <w:p w14:paraId="2BD72486" w14:textId="77777777" w:rsidR="00B40BE7" w:rsidRPr="002A32BF" w:rsidRDefault="00B40BE7" w:rsidP="00F30CFC">
      <w:pPr>
        <w:pStyle w:val="ListParagraph"/>
        <w:spacing w:before="120" w:after="120"/>
        <w:ind w:left="0"/>
        <w:jc w:val="both"/>
        <w:rPr>
          <w:sz w:val="22"/>
          <w:szCs w:val="22"/>
        </w:rPr>
      </w:pPr>
    </w:p>
    <w:p w14:paraId="77A0FF5E" w14:textId="77777777" w:rsidR="00F30CFC" w:rsidRPr="002A32BF" w:rsidRDefault="00F30CFC" w:rsidP="00F30CFC">
      <w:pPr>
        <w:pStyle w:val="ListParagraph"/>
        <w:rPr>
          <w:sz w:val="22"/>
          <w:szCs w:val="22"/>
        </w:rPr>
      </w:pPr>
      <w:bookmarkStart w:id="1" w:name="OLE_LINK3"/>
      <w:bookmarkStart w:id="2" w:name="OLE_LINK4"/>
    </w:p>
    <w:p w14:paraId="7671BF6B" w14:textId="77777777" w:rsidR="00321F59" w:rsidRPr="002A32BF" w:rsidRDefault="00321F59" w:rsidP="00F30CFC">
      <w:pPr>
        <w:pStyle w:val="ListParagraph"/>
        <w:rPr>
          <w:sz w:val="22"/>
          <w:szCs w:val="22"/>
        </w:rPr>
      </w:pPr>
    </w:p>
    <w:p w14:paraId="04C958E5" w14:textId="77777777" w:rsidR="00321F59" w:rsidRPr="002A32BF" w:rsidRDefault="00321F59" w:rsidP="00F30CFC">
      <w:pPr>
        <w:pStyle w:val="ListParagraph"/>
        <w:rPr>
          <w:sz w:val="22"/>
          <w:szCs w:val="22"/>
        </w:rPr>
      </w:pPr>
    </w:p>
    <w:p w14:paraId="3B6407C2" w14:textId="77777777" w:rsidR="00321F59" w:rsidRPr="002A32BF" w:rsidRDefault="00321F59" w:rsidP="00F30CFC">
      <w:pPr>
        <w:pStyle w:val="ListParagraph"/>
        <w:rPr>
          <w:sz w:val="22"/>
          <w:szCs w:val="22"/>
        </w:rPr>
      </w:pPr>
    </w:p>
    <w:p w14:paraId="078A6AA8" w14:textId="77777777" w:rsidR="00321F59" w:rsidRPr="002A32BF" w:rsidRDefault="00321F59" w:rsidP="00F30CFC">
      <w:pPr>
        <w:pStyle w:val="ListParagraph"/>
        <w:rPr>
          <w:sz w:val="22"/>
          <w:szCs w:val="22"/>
        </w:rPr>
      </w:pPr>
    </w:p>
    <w:p w14:paraId="642A65F4" w14:textId="77777777" w:rsidR="00F30CFC" w:rsidRPr="002A32BF" w:rsidRDefault="00F30CFC" w:rsidP="002C6894">
      <w:pPr>
        <w:pStyle w:val="ListParagraph"/>
        <w:spacing w:before="120" w:after="120"/>
        <w:ind w:left="0"/>
        <w:jc w:val="both"/>
        <w:rPr>
          <w:sz w:val="22"/>
          <w:szCs w:val="22"/>
        </w:rPr>
      </w:pPr>
    </w:p>
    <w:p w14:paraId="499620F3" w14:textId="77777777" w:rsidR="00F30CFC" w:rsidRPr="002A32BF" w:rsidRDefault="00F30CFC" w:rsidP="00F30CFC">
      <w:pPr>
        <w:pStyle w:val="ListParagraph"/>
        <w:spacing w:before="120" w:after="120"/>
        <w:ind w:left="0"/>
        <w:jc w:val="both"/>
        <w:rPr>
          <w:color w:val="000000"/>
          <w:sz w:val="22"/>
          <w:szCs w:val="22"/>
          <w:lang w:eastAsia="et-EE"/>
        </w:rPr>
      </w:pPr>
    </w:p>
    <w:bookmarkEnd w:id="1"/>
    <w:bookmarkEnd w:id="2"/>
    <w:p w14:paraId="1F7AE5EB" w14:textId="77777777" w:rsidR="00F30CFC" w:rsidRPr="002A32BF" w:rsidRDefault="00F30CFC" w:rsidP="00F30CFC">
      <w:pPr>
        <w:pStyle w:val="ListParagraph"/>
        <w:spacing w:before="120" w:after="120"/>
        <w:ind w:left="0"/>
        <w:jc w:val="both"/>
        <w:rPr>
          <w:sz w:val="22"/>
          <w:szCs w:val="22"/>
        </w:rPr>
      </w:pPr>
    </w:p>
    <w:p w14:paraId="48D32177" w14:textId="77777777" w:rsidR="00F30CFC" w:rsidRPr="002A32BF" w:rsidRDefault="00F30CFC" w:rsidP="00F30CFC">
      <w:pPr>
        <w:pStyle w:val="Heading1"/>
        <w:numPr>
          <w:ilvl w:val="0"/>
          <w:numId w:val="17"/>
        </w:numPr>
        <w:spacing w:before="120" w:after="120"/>
        <w:jc w:val="both"/>
        <w:rPr>
          <w:sz w:val="22"/>
          <w:szCs w:val="22"/>
        </w:rPr>
      </w:pPr>
      <w:r w:rsidRPr="002A32BF">
        <w:rPr>
          <w:sz w:val="22"/>
          <w:szCs w:val="22"/>
        </w:rPr>
        <w:t>Poolte allkirjad:</w:t>
      </w:r>
    </w:p>
    <w:p w14:paraId="66B7BBCD" w14:textId="77777777" w:rsidR="002C6894" w:rsidRPr="002A32BF" w:rsidRDefault="002C6894" w:rsidP="002C6894">
      <w:pPr>
        <w:spacing w:before="120" w:after="120"/>
        <w:ind w:left="360"/>
        <w:jc w:val="both"/>
        <w:rPr>
          <w:sz w:val="22"/>
          <w:szCs w:val="22"/>
        </w:rPr>
      </w:pPr>
    </w:p>
    <w:p w14:paraId="31ACA50E" w14:textId="77777777" w:rsidR="002C6894" w:rsidRPr="002A32BF" w:rsidRDefault="002C6894" w:rsidP="002C6894">
      <w:pPr>
        <w:spacing w:before="120" w:after="120"/>
        <w:jc w:val="both"/>
        <w:rPr>
          <w:b/>
          <w:bCs/>
          <w:sz w:val="22"/>
          <w:szCs w:val="22"/>
        </w:rPr>
      </w:pPr>
      <w:r w:rsidRPr="002A32BF">
        <w:rPr>
          <w:b/>
          <w:bCs/>
          <w:sz w:val="22"/>
          <w:szCs w:val="22"/>
        </w:rPr>
        <w:t>Süsteemihaldur</w:t>
      </w:r>
      <w:r w:rsidRPr="002A32BF">
        <w:rPr>
          <w:b/>
          <w:bCs/>
          <w:sz w:val="22"/>
          <w:szCs w:val="22"/>
        </w:rPr>
        <w:tab/>
      </w:r>
      <w:r w:rsidRPr="002A32BF">
        <w:rPr>
          <w:b/>
          <w:bCs/>
          <w:sz w:val="22"/>
          <w:szCs w:val="22"/>
        </w:rPr>
        <w:tab/>
      </w:r>
      <w:r w:rsidRPr="002A32BF">
        <w:rPr>
          <w:b/>
          <w:bCs/>
          <w:sz w:val="22"/>
          <w:szCs w:val="22"/>
        </w:rPr>
        <w:tab/>
      </w:r>
      <w:r w:rsidRPr="002A32BF">
        <w:rPr>
          <w:b/>
          <w:bCs/>
          <w:sz w:val="22"/>
          <w:szCs w:val="22"/>
        </w:rPr>
        <w:tab/>
        <w:t>Bilansihaldur</w:t>
      </w:r>
    </w:p>
    <w:p w14:paraId="4744CE0C" w14:textId="77777777" w:rsidR="002C6894" w:rsidRPr="002A32BF" w:rsidRDefault="002C6894" w:rsidP="002C6894">
      <w:pPr>
        <w:tabs>
          <w:tab w:val="left" w:pos="567"/>
        </w:tabs>
        <w:spacing w:before="120" w:after="120"/>
        <w:ind w:left="360"/>
        <w:jc w:val="both"/>
        <w:rPr>
          <w:sz w:val="22"/>
          <w:szCs w:val="22"/>
        </w:rPr>
      </w:pPr>
    </w:p>
    <w:p w14:paraId="35A17289" w14:textId="77777777" w:rsidR="002C6894" w:rsidRPr="002A32BF" w:rsidRDefault="002C6894" w:rsidP="002C6894">
      <w:pPr>
        <w:tabs>
          <w:tab w:val="left" w:pos="567"/>
        </w:tabs>
        <w:spacing w:before="120" w:after="120"/>
        <w:ind w:left="360"/>
        <w:jc w:val="both"/>
        <w:rPr>
          <w:b/>
          <w:bCs/>
        </w:rPr>
      </w:pPr>
    </w:p>
    <w:tbl>
      <w:tblPr>
        <w:tblW w:w="0" w:type="auto"/>
        <w:jc w:val="center"/>
        <w:tblLook w:val="00A0" w:firstRow="1" w:lastRow="0" w:firstColumn="1" w:lastColumn="0" w:noHBand="0" w:noVBand="0"/>
      </w:tblPr>
      <w:tblGrid>
        <w:gridCol w:w="4059"/>
        <w:gridCol w:w="4489"/>
      </w:tblGrid>
      <w:tr w:rsidR="002C6894" w:rsidRPr="002A32BF" w14:paraId="23F11671" w14:textId="77777777" w:rsidTr="00964D31">
        <w:trPr>
          <w:jc w:val="center"/>
        </w:trPr>
        <w:tc>
          <w:tcPr>
            <w:tcW w:w="4068" w:type="dxa"/>
          </w:tcPr>
          <w:p w14:paraId="0DB3B2E3" w14:textId="77777777" w:rsidR="002C6894" w:rsidRPr="002A32BF" w:rsidRDefault="002C6894" w:rsidP="00964D31">
            <w:pPr>
              <w:rPr>
                <w:sz w:val="22"/>
                <w:szCs w:val="22"/>
              </w:rPr>
            </w:pPr>
            <w:r w:rsidRPr="002A32BF">
              <w:rPr>
                <w:sz w:val="22"/>
                <w:szCs w:val="22"/>
              </w:rPr>
              <w:t>/allkirjastatud digitaalselt/</w:t>
            </w:r>
            <w:r w:rsidRPr="002A32BF">
              <w:rPr>
                <w:sz w:val="22"/>
                <w:szCs w:val="22"/>
              </w:rPr>
              <w:tab/>
            </w:r>
          </w:p>
        </w:tc>
        <w:tc>
          <w:tcPr>
            <w:tcW w:w="4500" w:type="dxa"/>
          </w:tcPr>
          <w:p w14:paraId="41E25C05" w14:textId="77777777" w:rsidR="002C6894" w:rsidRPr="002A32BF" w:rsidRDefault="002C6894" w:rsidP="00964D31">
            <w:pPr>
              <w:rPr>
                <w:sz w:val="22"/>
                <w:szCs w:val="22"/>
              </w:rPr>
            </w:pPr>
            <w:r w:rsidRPr="002A32BF">
              <w:rPr>
                <w:sz w:val="22"/>
                <w:szCs w:val="22"/>
              </w:rPr>
              <w:t>/allkirjastatud digitaalselt/</w:t>
            </w:r>
          </w:p>
        </w:tc>
      </w:tr>
      <w:tr w:rsidR="002C6894" w:rsidRPr="002A32BF" w14:paraId="071FD775" w14:textId="77777777" w:rsidTr="00964D31">
        <w:trPr>
          <w:jc w:val="center"/>
        </w:trPr>
        <w:tc>
          <w:tcPr>
            <w:tcW w:w="4068" w:type="dxa"/>
          </w:tcPr>
          <w:p w14:paraId="72F6B2BB" w14:textId="77777777" w:rsidR="002C6894" w:rsidRPr="002A32BF" w:rsidRDefault="002C6894" w:rsidP="00964D31">
            <w:pPr>
              <w:rPr>
                <w:sz w:val="22"/>
                <w:szCs w:val="22"/>
              </w:rPr>
            </w:pPr>
            <w:r w:rsidRPr="002A32BF">
              <w:rPr>
                <w:sz w:val="22"/>
                <w:szCs w:val="22"/>
              </w:rPr>
              <w:t xml:space="preserve">Taavi Veskimägi </w:t>
            </w:r>
          </w:p>
          <w:p w14:paraId="7D33AD49" w14:textId="77777777" w:rsidR="002C6894" w:rsidRPr="002A32BF" w:rsidRDefault="002C6894" w:rsidP="00964D31">
            <w:pPr>
              <w:rPr>
                <w:sz w:val="22"/>
                <w:szCs w:val="22"/>
              </w:rPr>
            </w:pPr>
          </w:p>
        </w:tc>
        <w:tc>
          <w:tcPr>
            <w:tcW w:w="4500" w:type="dxa"/>
          </w:tcPr>
          <w:p w14:paraId="428BC560" w14:textId="1360370D" w:rsidR="002C6894" w:rsidRPr="002A32BF" w:rsidRDefault="009E4D70" w:rsidP="00964D31">
            <w:pPr>
              <w:rPr>
                <w:sz w:val="22"/>
                <w:szCs w:val="22"/>
              </w:rPr>
            </w:pPr>
            <w:r w:rsidRPr="009E4D70">
              <w:rPr>
                <w:sz w:val="22"/>
                <w:szCs w:val="22"/>
                <w:highlight w:val="yellow"/>
              </w:rPr>
              <w:t>…..</w:t>
            </w:r>
          </w:p>
        </w:tc>
      </w:tr>
    </w:tbl>
    <w:p w14:paraId="6B996656" w14:textId="77777777" w:rsidR="00F30CFC" w:rsidRPr="002A32BF" w:rsidRDefault="00F30CFC" w:rsidP="00F30CFC">
      <w:pPr>
        <w:pStyle w:val="Heading1"/>
        <w:numPr>
          <w:ilvl w:val="0"/>
          <w:numId w:val="0"/>
        </w:numPr>
        <w:spacing w:before="0"/>
        <w:jc w:val="right"/>
        <w:rPr>
          <w:sz w:val="22"/>
          <w:szCs w:val="22"/>
        </w:rPr>
      </w:pPr>
      <w:r w:rsidRPr="002A32BF">
        <w:rPr>
          <w:sz w:val="22"/>
          <w:szCs w:val="22"/>
        </w:rPr>
        <w:br w:type="page"/>
      </w:r>
      <w:r w:rsidRPr="002A32BF">
        <w:rPr>
          <w:sz w:val="22"/>
          <w:szCs w:val="22"/>
        </w:rPr>
        <w:lastRenderedPageBreak/>
        <w:t>Lisa 2  Andmevahetuse vormid</w:t>
      </w:r>
    </w:p>
    <w:p w14:paraId="76F7F257" w14:textId="77777777" w:rsidR="00F30CFC" w:rsidRPr="002A32BF" w:rsidRDefault="00F30CFC" w:rsidP="00F30CFC">
      <w:pPr>
        <w:rPr>
          <w:sz w:val="22"/>
          <w:szCs w:val="22"/>
        </w:rPr>
      </w:pPr>
    </w:p>
    <w:p w14:paraId="2118F29C" w14:textId="77777777" w:rsidR="00F30CFC" w:rsidRPr="002A32BF" w:rsidRDefault="00F30CFC" w:rsidP="00F30CFC">
      <w:pPr>
        <w:numPr>
          <w:ilvl w:val="0"/>
          <w:numId w:val="29"/>
        </w:numPr>
        <w:spacing w:before="120" w:after="120"/>
        <w:jc w:val="both"/>
        <w:rPr>
          <w:sz w:val="22"/>
          <w:szCs w:val="22"/>
        </w:rPr>
      </w:pPr>
      <w:r w:rsidRPr="002A32BF">
        <w:rPr>
          <w:sz w:val="22"/>
          <w:szCs w:val="22"/>
        </w:rPr>
        <w:t>Andmevahetus</w:t>
      </w:r>
    </w:p>
    <w:p w14:paraId="55202004" w14:textId="77777777" w:rsidR="00F30CFC" w:rsidRPr="002A32BF" w:rsidRDefault="00F30CFC" w:rsidP="0064001C">
      <w:pPr>
        <w:numPr>
          <w:ilvl w:val="1"/>
          <w:numId w:val="29"/>
        </w:numPr>
        <w:spacing w:before="120" w:after="120"/>
        <w:jc w:val="both"/>
        <w:rPr>
          <w:sz w:val="22"/>
          <w:szCs w:val="22"/>
        </w:rPr>
      </w:pPr>
      <w:r w:rsidRPr="002A32BF">
        <w:rPr>
          <w:sz w:val="22"/>
          <w:szCs w:val="22"/>
        </w:rPr>
        <w:t xml:space="preserve">Andmevahetuses kasutatakse turuosaliste EIC koode, mille register asub Eleringi veebilehel  </w:t>
      </w:r>
      <w:hyperlink r:id="rId5" w:history="1">
        <w:r w:rsidR="0064001C" w:rsidRPr="002A32BF">
          <w:rPr>
            <w:rStyle w:val="Hyperlink"/>
            <w:sz w:val="22"/>
            <w:szCs w:val="22"/>
          </w:rPr>
          <w:t>http://elering.ee/eic-koodid/</w:t>
        </w:r>
      </w:hyperlink>
      <w:r w:rsidRPr="002A32BF">
        <w:rPr>
          <w:sz w:val="22"/>
          <w:szCs w:val="22"/>
        </w:rPr>
        <w:t>.</w:t>
      </w:r>
      <w:r w:rsidR="0064001C" w:rsidRPr="002A32BF">
        <w:rPr>
          <w:sz w:val="22"/>
          <w:szCs w:val="22"/>
        </w:rPr>
        <w:t xml:space="preserve">  </w:t>
      </w:r>
      <w:r w:rsidRPr="002A32BF">
        <w:rPr>
          <w:sz w:val="22"/>
          <w:szCs w:val="22"/>
        </w:rPr>
        <w:t xml:space="preserve"> </w:t>
      </w:r>
      <w:r w:rsidR="0064001C" w:rsidRPr="002A32BF">
        <w:rPr>
          <w:sz w:val="22"/>
          <w:szCs w:val="22"/>
        </w:rPr>
        <w:t xml:space="preserve"> </w:t>
      </w:r>
    </w:p>
    <w:p w14:paraId="4C790F05" w14:textId="77777777" w:rsidR="00F30CFC" w:rsidRPr="002A32BF" w:rsidRDefault="00F30CFC" w:rsidP="00F30CFC">
      <w:pPr>
        <w:numPr>
          <w:ilvl w:val="2"/>
          <w:numId w:val="29"/>
        </w:numPr>
        <w:spacing w:before="120" w:after="120"/>
        <w:jc w:val="both"/>
        <w:rPr>
          <w:sz w:val="22"/>
          <w:szCs w:val="22"/>
        </w:rPr>
      </w:pPr>
      <w:r w:rsidRPr="002A32BF">
        <w:rPr>
          <w:sz w:val="22"/>
          <w:szCs w:val="22"/>
        </w:rPr>
        <w:t>Süsteemihalduri EIC kood on: 10X1001A1001A39W.</w:t>
      </w:r>
    </w:p>
    <w:p w14:paraId="5B421D4A" w14:textId="7332C69C" w:rsidR="00F30CFC" w:rsidRPr="002A32BF" w:rsidRDefault="00257DC1" w:rsidP="00FD42CE">
      <w:pPr>
        <w:numPr>
          <w:ilvl w:val="2"/>
          <w:numId w:val="29"/>
        </w:numPr>
        <w:spacing w:before="120" w:after="120"/>
        <w:jc w:val="both"/>
        <w:rPr>
          <w:sz w:val="22"/>
          <w:szCs w:val="22"/>
        </w:rPr>
      </w:pPr>
      <w:r w:rsidRPr="002A32BF">
        <w:rPr>
          <w:sz w:val="22"/>
          <w:szCs w:val="22"/>
        </w:rPr>
        <w:t xml:space="preserve">Bilansihalduri EIC kood on: </w:t>
      </w:r>
      <w:r w:rsidR="009E4D70" w:rsidRPr="009E4D70">
        <w:rPr>
          <w:sz w:val="22"/>
          <w:szCs w:val="22"/>
          <w:highlight w:val="yellow"/>
        </w:rPr>
        <w:t>…..</w:t>
      </w:r>
      <w:r w:rsidR="00FD42CE" w:rsidRPr="002A32BF">
        <w:rPr>
          <w:sz w:val="22"/>
          <w:szCs w:val="22"/>
          <w:lang w:eastAsia="et-EE"/>
        </w:rPr>
        <w:t>.</w:t>
      </w:r>
    </w:p>
    <w:p w14:paraId="126A7DFF" w14:textId="77777777" w:rsidR="007B5E28" w:rsidRPr="002A32BF" w:rsidRDefault="00F30CFC" w:rsidP="00602C4C">
      <w:pPr>
        <w:numPr>
          <w:ilvl w:val="1"/>
          <w:numId w:val="29"/>
        </w:numPr>
        <w:spacing w:before="120" w:after="120"/>
        <w:jc w:val="both"/>
        <w:rPr>
          <w:sz w:val="22"/>
          <w:szCs w:val="22"/>
        </w:rPr>
      </w:pPr>
      <w:r w:rsidRPr="002A32BF">
        <w:rPr>
          <w:sz w:val="22"/>
          <w:szCs w:val="22"/>
        </w:rPr>
        <w:t xml:space="preserve">Süsteemihaldur kasutab bilansihaldusega seotud andmevahetuseks </w:t>
      </w:r>
      <w:proofErr w:type="spellStart"/>
      <w:r w:rsidR="00B14E6C" w:rsidRPr="002A32BF">
        <w:rPr>
          <w:sz w:val="22"/>
          <w:szCs w:val="22"/>
        </w:rPr>
        <w:t>Entso</w:t>
      </w:r>
      <w:proofErr w:type="spellEnd"/>
      <w:r w:rsidR="00B14E6C" w:rsidRPr="002A32BF">
        <w:rPr>
          <w:sz w:val="22"/>
          <w:szCs w:val="22"/>
        </w:rPr>
        <w:t xml:space="preserve"> </w:t>
      </w:r>
      <w:r w:rsidRPr="002A32BF">
        <w:rPr>
          <w:sz w:val="22"/>
          <w:szCs w:val="22"/>
        </w:rPr>
        <w:t xml:space="preserve">XML sõnumite standardil formaate bilansi plaanidele, reguleerimispakkumistele ja mõõteandmetele. </w:t>
      </w:r>
    </w:p>
    <w:p w14:paraId="1A705883" w14:textId="77777777" w:rsidR="00602C4C" w:rsidRPr="002A32BF" w:rsidRDefault="00602C4C" w:rsidP="00602C4C">
      <w:pPr>
        <w:spacing w:before="120" w:after="120"/>
        <w:ind w:left="360"/>
        <w:jc w:val="both"/>
        <w:rPr>
          <w:sz w:val="22"/>
          <w:szCs w:val="22"/>
        </w:rPr>
      </w:pPr>
    </w:p>
    <w:p w14:paraId="630047E5" w14:textId="77777777" w:rsidR="00F30CFC" w:rsidRPr="002A32BF" w:rsidRDefault="00F30CFC" w:rsidP="00F30CFC">
      <w:pPr>
        <w:numPr>
          <w:ilvl w:val="0"/>
          <w:numId w:val="29"/>
        </w:numPr>
        <w:spacing w:before="120" w:after="120"/>
        <w:jc w:val="both"/>
        <w:rPr>
          <w:sz w:val="22"/>
          <w:szCs w:val="22"/>
        </w:rPr>
      </w:pPr>
      <w:r w:rsidRPr="002A32BF">
        <w:rPr>
          <w:sz w:val="22"/>
          <w:szCs w:val="22"/>
        </w:rPr>
        <w:t xml:space="preserve">Bilansihaldur korraldab süsteemihaldurile bilansiplaanide esitamise järgmiselt: </w:t>
      </w:r>
    </w:p>
    <w:p w14:paraId="1CD2FFC6" w14:textId="77777777" w:rsidR="00F30CFC" w:rsidRPr="002A32BF" w:rsidRDefault="00F30CFC" w:rsidP="00F30CFC">
      <w:pPr>
        <w:numPr>
          <w:ilvl w:val="1"/>
          <w:numId w:val="29"/>
        </w:numPr>
        <w:spacing w:before="120" w:after="120"/>
        <w:ind w:left="357" w:hanging="357"/>
        <w:jc w:val="both"/>
        <w:rPr>
          <w:rStyle w:val="Hyperlink"/>
          <w:sz w:val="22"/>
          <w:szCs w:val="22"/>
        </w:rPr>
      </w:pPr>
      <w:r w:rsidRPr="002A32BF">
        <w:rPr>
          <w:sz w:val="22"/>
          <w:szCs w:val="22"/>
        </w:rPr>
        <w:t xml:space="preserve">Bilansiplaanide esitamise näidisvormid ja formaadi kirjeldus on avaldatud Eleringi veebilehel: </w:t>
      </w:r>
      <w:hyperlink r:id="rId6" w:history="1">
        <w:r w:rsidR="00473718" w:rsidRPr="002A32BF">
          <w:rPr>
            <w:rStyle w:val="Hyperlink"/>
            <w:sz w:val="22"/>
            <w:szCs w:val="22"/>
          </w:rPr>
          <w:t>http://elering.ee/bilansileping</w:t>
        </w:r>
      </w:hyperlink>
    </w:p>
    <w:p w14:paraId="65AB11C4" w14:textId="77777777" w:rsidR="00F30CFC" w:rsidRPr="002A32BF" w:rsidRDefault="00F30CFC" w:rsidP="00F30CFC">
      <w:pPr>
        <w:numPr>
          <w:ilvl w:val="1"/>
          <w:numId w:val="29"/>
        </w:numPr>
        <w:spacing w:before="120" w:after="120"/>
        <w:ind w:left="357" w:hanging="357"/>
        <w:jc w:val="both"/>
        <w:rPr>
          <w:sz w:val="22"/>
          <w:szCs w:val="22"/>
        </w:rPr>
      </w:pPr>
      <w:r w:rsidRPr="002A32BF">
        <w:rPr>
          <w:sz w:val="22"/>
          <w:szCs w:val="22"/>
        </w:rPr>
        <w:t xml:space="preserve">Bilansiplaanid esitatakse elektroonselt e-postile </w:t>
      </w:r>
      <w:hyperlink r:id="rId7" w:history="1">
        <w:r w:rsidR="00390BFC" w:rsidRPr="002A32BF">
          <w:rPr>
            <w:rStyle w:val="Hyperlink"/>
            <w:sz w:val="22"/>
            <w:szCs w:val="22"/>
          </w:rPr>
          <w:t>bms@estbms.eu</w:t>
        </w:r>
      </w:hyperlink>
    </w:p>
    <w:p w14:paraId="6ED566F0" w14:textId="77777777" w:rsidR="00390BFC" w:rsidRPr="002A32BF" w:rsidRDefault="00390BFC" w:rsidP="00390BFC">
      <w:pPr>
        <w:spacing w:before="120" w:after="120"/>
        <w:ind w:left="357"/>
        <w:jc w:val="both"/>
        <w:rPr>
          <w:sz w:val="22"/>
          <w:szCs w:val="22"/>
        </w:rPr>
      </w:pPr>
    </w:p>
    <w:p w14:paraId="0BDB041F" w14:textId="77777777" w:rsidR="00F30CFC" w:rsidRPr="002A32BF" w:rsidRDefault="00F30CFC" w:rsidP="00F30CFC">
      <w:pPr>
        <w:numPr>
          <w:ilvl w:val="0"/>
          <w:numId w:val="29"/>
        </w:numPr>
        <w:spacing w:before="120" w:after="120"/>
        <w:jc w:val="both"/>
        <w:rPr>
          <w:sz w:val="22"/>
          <w:szCs w:val="22"/>
        </w:rPr>
      </w:pPr>
      <w:r w:rsidRPr="002A32BF">
        <w:rPr>
          <w:sz w:val="22"/>
          <w:szCs w:val="22"/>
        </w:rPr>
        <w:t>Süsteemihaldur korraldab bilansihaldurile bilansiaruannete esitamise järgmistel alustel:</w:t>
      </w:r>
    </w:p>
    <w:p w14:paraId="6C39C159" w14:textId="77777777" w:rsidR="00F30CFC" w:rsidRPr="002A32BF" w:rsidRDefault="00F30CFC" w:rsidP="00F30CFC">
      <w:pPr>
        <w:numPr>
          <w:ilvl w:val="1"/>
          <w:numId w:val="29"/>
        </w:numPr>
        <w:tabs>
          <w:tab w:val="left" w:pos="567"/>
        </w:tabs>
        <w:suppressAutoHyphens/>
        <w:spacing w:before="120" w:after="120"/>
        <w:jc w:val="both"/>
        <w:rPr>
          <w:color w:val="000000"/>
          <w:sz w:val="22"/>
          <w:szCs w:val="22"/>
        </w:rPr>
      </w:pPr>
      <w:r w:rsidRPr="002A32BF">
        <w:rPr>
          <w:sz w:val="22"/>
          <w:szCs w:val="22"/>
        </w:rPr>
        <w:t>Süsteemihaldur esitab bilansihaldurile bilansiaruande järgmise vormiga:</w:t>
      </w:r>
    </w:p>
    <w:tbl>
      <w:tblPr>
        <w:tblW w:w="9000" w:type="dxa"/>
        <w:tblInd w:w="55" w:type="dxa"/>
        <w:tblCellMar>
          <w:left w:w="70" w:type="dxa"/>
          <w:right w:w="70" w:type="dxa"/>
        </w:tblCellMar>
        <w:tblLook w:val="04A0" w:firstRow="1" w:lastRow="0" w:firstColumn="1" w:lastColumn="0" w:noHBand="0" w:noVBand="1"/>
      </w:tblPr>
      <w:tblGrid>
        <w:gridCol w:w="1074"/>
        <w:gridCol w:w="918"/>
        <w:gridCol w:w="1274"/>
        <w:gridCol w:w="963"/>
        <w:gridCol w:w="813"/>
        <w:gridCol w:w="700"/>
        <w:gridCol w:w="618"/>
        <w:gridCol w:w="700"/>
        <w:gridCol w:w="622"/>
        <w:gridCol w:w="700"/>
        <w:gridCol w:w="618"/>
      </w:tblGrid>
      <w:tr w:rsidR="00F30CFC" w:rsidRPr="002A32BF" w14:paraId="55DF799B" w14:textId="77777777" w:rsidTr="00174CD5">
        <w:trPr>
          <w:cantSplit/>
          <w:trHeight w:val="6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B53FC" w14:textId="77777777" w:rsidR="00F30CFC" w:rsidRPr="002A32BF" w:rsidRDefault="00F30CFC" w:rsidP="00174CD5">
            <w:pPr>
              <w:jc w:val="center"/>
              <w:rPr>
                <w:color w:val="000000"/>
                <w:sz w:val="20"/>
                <w:szCs w:val="20"/>
                <w:lang w:eastAsia="et-EE"/>
              </w:rPr>
            </w:pPr>
            <w:r w:rsidRPr="002A32BF">
              <w:rPr>
                <w:color w:val="000000"/>
                <w:sz w:val="20"/>
                <w:szCs w:val="20"/>
                <w:lang w:eastAsia="et-EE"/>
              </w:rPr>
              <w:t>Kauplemis- periood</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91F709"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Määratud tarned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BF044A"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Reguleerimis-   tarned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453A3" w14:textId="77777777" w:rsidR="00F30CFC" w:rsidRPr="002A32BF" w:rsidRDefault="00F30CFC" w:rsidP="00174CD5">
            <w:pPr>
              <w:jc w:val="center"/>
              <w:rPr>
                <w:color w:val="000000"/>
                <w:sz w:val="20"/>
                <w:szCs w:val="20"/>
                <w:lang w:eastAsia="et-EE"/>
              </w:rPr>
            </w:pPr>
            <w:r w:rsidRPr="002A32BF">
              <w:rPr>
                <w:color w:val="000000"/>
                <w:sz w:val="20"/>
                <w:szCs w:val="20"/>
                <w:lang w:eastAsia="et-EE"/>
              </w:rPr>
              <w:t>Mõõdetud  tarned</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D97C5E" w14:textId="77777777" w:rsidR="00F30CFC" w:rsidRPr="002A32BF" w:rsidRDefault="00F30CFC" w:rsidP="00174CD5">
            <w:pPr>
              <w:jc w:val="center"/>
              <w:rPr>
                <w:color w:val="000000"/>
                <w:sz w:val="20"/>
                <w:szCs w:val="20"/>
                <w:lang w:eastAsia="et-EE"/>
              </w:rPr>
            </w:pPr>
            <w:r w:rsidRPr="002A32BF">
              <w:rPr>
                <w:color w:val="000000"/>
                <w:sz w:val="20"/>
                <w:szCs w:val="20"/>
                <w:lang w:eastAsia="et-EE"/>
              </w:rPr>
              <w:t>Bilansi-  energia   kogus</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14:paraId="1884E80F" w14:textId="77777777" w:rsidR="00F30CFC" w:rsidRPr="002A32BF" w:rsidRDefault="00F30CFC" w:rsidP="00174CD5">
            <w:pPr>
              <w:jc w:val="center"/>
              <w:rPr>
                <w:color w:val="000000"/>
                <w:sz w:val="20"/>
                <w:szCs w:val="20"/>
                <w:lang w:eastAsia="et-EE"/>
              </w:rPr>
            </w:pPr>
            <w:r w:rsidRPr="002A32BF">
              <w:rPr>
                <w:color w:val="000000"/>
                <w:sz w:val="20"/>
                <w:szCs w:val="20"/>
                <w:lang w:eastAsia="et-EE"/>
              </w:rPr>
              <w:t>Bilansienergia kogus</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14:paraId="3DC74CFC" w14:textId="77777777" w:rsidR="00F30CFC" w:rsidRPr="002A32BF" w:rsidRDefault="00F30CFC" w:rsidP="00174CD5">
            <w:pPr>
              <w:jc w:val="center"/>
              <w:rPr>
                <w:color w:val="000000"/>
                <w:sz w:val="20"/>
                <w:szCs w:val="20"/>
                <w:lang w:eastAsia="et-EE"/>
              </w:rPr>
            </w:pPr>
            <w:r w:rsidRPr="002A32BF">
              <w:rPr>
                <w:color w:val="000000"/>
                <w:sz w:val="20"/>
                <w:szCs w:val="20"/>
                <w:lang w:eastAsia="et-EE"/>
              </w:rPr>
              <w:t>Bilansienergia hind</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14:paraId="21E1289B" w14:textId="77777777" w:rsidR="00F30CFC" w:rsidRPr="002A32BF" w:rsidRDefault="00F30CFC" w:rsidP="00174CD5">
            <w:pPr>
              <w:jc w:val="center"/>
              <w:rPr>
                <w:color w:val="000000"/>
                <w:sz w:val="20"/>
                <w:szCs w:val="20"/>
                <w:lang w:eastAsia="et-EE"/>
              </w:rPr>
            </w:pPr>
            <w:r w:rsidRPr="002A32BF">
              <w:rPr>
                <w:color w:val="000000"/>
                <w:sz w:val="20"/>
                <w:szCs w:val="20"/>
                <w:lang w:eastAsia="et-EE"/>
              </w:rPr>
              <w:t>Bilansienergia maksumus</w:t>
            </w:r>
          </w:p>
        </w:tc>
      </w:tr>
      <w:tr w:rsidR="00F30CFC" w:rsidRPr="002A32BF" w14:paraId="1D43FC78" w14:textId="77777777" w:rsidTr="00174CD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9490B18" w14:textId="77777777" w:rsidR="00F30CFC" w:rsidRPr="002A32BF" w:rsidRDefault="00F30CFC" w:rsidP="00174CD5">
            <w:pPr>
              <w:rPr>
                <w:color w:val="000000"/>
                <w:sz w:val="20"/>
                <w:szCs w:val="20"/>
                <w:lang w:eastAsia="et-E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23B851E" w14:textId="77777777" w:rsidR="00F30CFC" w:rsidRPr="002A32BF" w:rsidRDefault="00F30CFC" w:rsidP="00174CD5">
            <w:pPr>
              <w:rPr>
                <w:color w:val="000000"/>
                <w:sz w:val="20"/>
                <w:szCs w:val="20"/>
                <w:lang w:eastAsia="et-E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06E8ADE" w14:textId="77777777" w:rsidR="00F30CFC" w:rsidRPr="002A32BF" w:rsidRDefault="00F30CFC" w:rsidP="00174CD5">
            <w:pPr>
              <w:rPr>
                <w:color w:val="000000"/>
                <w:sz w:val="20"/>
                <w:szCs w:val="20"/>
                <w:lang w:eastAsia="et-E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BD23E9D" w14:textId="77777777" w:rsidR="00F30CFC" w:rsidRPr="002A32BF" w:rsidRDefault="00F30CFC" w:rsidP="00174CD5">
            <w:pPr>
              <w:rPr>
                <w:color w:val="000000"/>
                <w:sz w:val="20"/>
                <w:szCs w:val="20"/>
                <w:lang w:eastAsia="et-E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7BB90751" w14:textId="77777777" w:rsidR="00F30CFC" w:rsidRPr="002A32BF" w:rsidRDefault="00F30CFC" w:rsidP="00174CD5">
            <w:pPr>
              <w:rPr>
                <w:color w:val="000000"/>
                <w:sz w:val="20"/>
                <w:szCs w:val="20"/>
                <w:lang w:eastAsia="et-EE"/>
              </w:rPr>
            </w:pPr>
          </w:p>
        </w:tc>
        <w:tc>
          <w:tcPr>
            <w:tcW w:w="700" w:type="dxa"/>
            <w:tcBorders>
              <w:top w:val="nil"/>
              <w:left w:val="nil"/>
              <w:bottom w:val="single" w:sz="8" w:space="0" w:color="auto"/>
              <w:right w:val="single" w:sz="8" w:space="0" w:color="auto"/>
            </w:tcBorders>
            <w:shd w:val="clear" w:color="auto" w:fill="auto"/>
            <w:vAlign w:val="center"/>
            <w:hideMark/>
          </w:tcPr>
          <w:p w14:paraId="045A990D" w14:textId="77777777" w:rsidR="00F30CFC" w:rsidRPr="002A32BF" w:rsidRDefault="00F30CFC" w:rsidP="00174CD5">
            <w:pPr>
              <w:jc w:val="center"/>
              <w:rPr>
                <w:color w:val="000000"/>
                <w:sz w:val="20"/>
                <w:szCs w:val="20"/>
                <w:lang w:eastAsia="et-EE"/>
              </w:rPr>
            </w:pPr>
            <w:r w:rsidRPr="002A32BF">
              <w:rPr>
                <w:color w:val="000000"/>
                <w:sz w:val="20"/>
                <w:szCs w:val="20"/>
                <w:lang w:eastAsia="et-EE"/>
              </w:rPr>
              <w:t>Müük</w:t>
            </w:r>
          </w:p>
        </w:tc>
        <w:tc>
          <w:tcPr>
            <w:tcW w:w="700" w:type="dxa"/>
            <w:tcBorders>
              <w:top w:val="nil"/>
              <w:left w:val="nil"/>
              <w:bottom w:val="single" w:sz="8" w:space="0" w:color="auto"/>
              <w:right w:val="single" w:sz="8" w:space="0" w:color="auto"/>
            </w:tcBorders>
            <w:shd w:val="clear" w:color="auto" w:fill="auto"/>
            <w:vAlign w:val="center"/>
            <w:hideMark/>
          </w:tcPr>
          <w:p w14:paraId="22AE4D7C" w14:textId="77777777" w:rsidR="00F30CFC" w:rsidRPr="002A32BF" w:rsidRDefault="00F30CFC" w:rsidP="00174CD5">
            <w:pPr>
              <w:jc w:val="center"/>
              <w:rPr>
                <w:color w:val="000000"/>
                <w:sz w:val="20"/>
                <w:szCs w:val="20"/>
                <w:lang w:eastAsia="et-EE"/>
              </w:rPr>
            </w:pPr>
            <w:r w:rsidRPr="002A32BF">
              <w:rPr>
                <w:color w:val="000000"/>
                <w:sz w:val="20"/>
                <w:szCs w:val="20"/>
                <w:lang w:eastAsia="et-EE"/>
              </w:rPr>
              <w:t>Ost</w:t>
            </w:r>
          </w:p>
        </w:tc>
        <w:tc>
          <w:tcPr>
            <w:tcW w:w="700" w:type="dxa"/>
            <w:tcBorders>
              <w:top w:val="nil"/>
              <w:left w:val="nil"/>
              <w:bottom w:val="single" w:sz="8" w:space="0" w:color="auto"/>
              <w:right w:val="single" w:sz="8" w:space="0" w:color="auto"/>
            </w:tcBorders>
            <w:shd w:val="clear" w:color="auto" w:fill="auto"/>
            <w:vAlign w:val="center"/>
            <w:hideMark/>
          </w:tcPr>
          <w:p w14:paraId="13DF45A6"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Müük  </w:t>
            </w:r>
          </w:p>
        </w:tc>
        <w:tc>
          <w:tcPr>
            <w:tcW w:w="700" w:type="dxa"/>
            <w:tcBorders>
              <w:top w:val="nil"/>
              <w:left w:val="nil"/>
              <w:bottom w:val="single" w:sz="8" w:space="0" w:color="auto"/>
              <w:right w:val="single" w:sz="8" w:space="0" w:color="auto"/>
            </w:tcBorders>
            <w:shd w:val="clear" w:color="auto" w:fill="auto"/>
            <w:vAlign w:val="center"/>
            <w:hideMark/>
          </w:tcPr>
          <w:p w14:paraId="777F9C3C"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Ost      </w:t>
            </w:r>
          </w:p>
        </w:tc>
        <w:tc>
          <w:tcPr>
            <w:tcW w:w="700" w:type="dxa"/>
            <w:tcBorders>
              <w:top w:val="nil"/>
              <w:left w:val="nil"/>
              <w:bottom w:val="single" w:sz="8" w:space="0" w:color="auto"/>
              <w:right w:val="single" w:sz="8" w:space="0" w:color="auto"/>
            </w:tcBorders>
            <w:shd w:val="clear" w:color="auto" w:fill="auto"/>
            <w:vAlign w:val="center"/>
            <w:hideMark/>
          </w:tcPr>
          <w:p w14:paraId="7599AD11"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Müük  </w:t>
            </w:r>
          </w:p>
        </w:tc>
        <w:tc>
          <w:tcPr>
            <w:tcW w:w="700" w:type="dxa"/>
            <w:tcBorders>
              <w:top w:val="nil"/>
              <w:left w:val="nil"/>
              <w:bottom w:val="single" w:sz="8" w:space="0" w:color="auto"/>
              <w:right w:val="single" w:sz="8" w:space="0" w:color="auto"/>
            </w:tcBorders>
            <w:shd w:val="clear" w:color="auto" w:fill="auto"/>
            <w:vAlign w:val="center"/>
            <w:hideMark/>
          </w:tcPr>
          <w:p w14:paraId="23916E5F" w14:textId="77777777" w:rsidR="00F30CFC" w:rsidRPr="002A32BF" w:rsidRDefault="00F30CFC" w:rsidP="00174CD5">
            <w:pPr>
              <w:jc w:val="center"/>
              <w:rPr>
                <w:color w:val="000000"/>
                <w:sz w:val="20"/>
                <w:szCs w:val="20"/>
                <w:lang w:eastAsia="et-EE"/>
              </w:rPr>
            </w:pPr>
            <w:r w:rsidRPr="002A32BF">
              <w:rPr>
                <w:color w:val="000000"/>
                <w:sz w:val="20"/>
                <w:szCs w:val="20"/>
                <w:lang w:eastAsia="et-EE"/>
              </w:rPr>
              <w:t xml:space="preserve">Ost    </w:t>
            </w:r>
          </w:p>
        </w:tc>
      </w:tr>
      <w:tr w:rsidR="00F30CFC" w:rsidRPr="002A32BF" w14:paraId="38EA1429" w14:textId="77777777" w:rsidTr="00174CD5">
        <w:trPr>
          <w:trHeight w:val="315"/>
        </w:trPr>
        <w:tc>
          <w:tcPr>
            <w:tcW w:w="960" w:type="dxa"/>
            <w:tcBorders>
              <w:top w:val="nil"/>
              <w:left w:val="single" w:sz="8" w:space="0" w:color="auto"/>
              <w:bottom w:val="nil"/>
              <w:right w:val="single" w:sz="8" w:space="0" w:color="auto"/>
            </w:tcBorders>
            <w:shd w:val="clear" w:color="auto" w:fill="auto"/>
            <w:vAlign w:val="center"/>
            <w:hideMark/>
          </w:tcPr>
          <w:p w14:paraId="543945C9" w14:textId="77777777" w:rsidR="00F30CFC" w:rsidRPr="002A32BF" w:rsidRDefault="00F30CFC" w:rsidP="00174CD5">
            <w:pPr>
              <w:jc w:val="center"/>
              <w:rPr>
                <w:color w:val="8080FF"/>
                <w:lang w:eastAsia="et-EE"/>
              </w:rPr>
            </w:pPr>
            <w:r w:rsidRPr="002A32BF">
              <w:rPr>
                <w:color w:val="8080FF"/>
                <w:sz w:val="22"/>
                <w:szCs w:val="22"/>
                <w:lang w:eastAsia="et-EE"/>
              </w:rPr>
              <w:t> </w:t>
            </w:r>
          </w:p>
        </w:tc>
        <w:tc>
          <w:tcPr>
            <w:tcW w:w="5240" w:type="dxa"/>
            <w:gridSpan w:val="6"/>
            <w:tcBorders>
              <w:top w:val="nil"/>
              <w:left w:val="nil"/>
              <w:bottom w:val="single" w:sz="8" w:space="0" w:color="auto"/>
              <w:right w:val="single" w:sz="8" w:space="0" w:color="000000"/>
            </w:tcBorders>
            <w:shd w:val="clear" w:color="auto" w:fill="auto"/>
            <w:vAlign w:val="center"/>
            <w:hideMark/>
          </w:tcPr>
          <w:p w14:paraId="343700B8" w14:textId="77777777" w:rsidR="00F30CFC" w:rsidRPr="002A32BF" w:rsidRDefault="00F30CFC" w:rsidP="00174CD5">
            <w:pPr>
              <w:jc w:val="center"/>
              <w:rPr>
                <w:color w:val="000000"/>
                <w:lang w:eastAsia="et-EE"/>
              </w:rPr>
            </w:pPr>
            <w:r w:rsidRPr="002A32BF">
              <w:rPr>
                <w:color w:val="000000"/>
                <w:sz w:val="22"/>
                <w:szCs w:val="22"/>
                <w:lang w:eastAsia="et-EE"/>
              </w:rPr>
              <w:t>(MWh)</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14:paraId="3D235E5F" w14:textId="77777777" w:rsidR="00F30CFC" w:rsidRPr="002A32BF" w:rsidRDefault="00F30CFC" w:rsidP="00174CD5">
            <w:pPr>
              <w:jc w:val="center"/>
              <w:rPr>
                <w:color w:val="000000"/>
                <w:lang w:eastAsia="et-EE"/>
              </w:rPr>
            </w:pPr>
            <w:r w:rsidRPr="002A32BF">
              <w:rPr>
                <w:color w:val="000000"/>
                <w:sz w:val="22"/>
                <w:szCs w:val="22"/>
                <w:lang w:eastAsia="et-EE"/>
              </w:rPr>
              <w:t>(EUR/MWh)</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14:paraId="10E83FF3" w14:textId="77777777" w:rsidR="00F30CFC" w:rsidRPr="002A32BF" w:rsidRDefault="00F30CFC" w:rsidP="00174CD5">
            <w:pPr>
              <w:jc w:val="center"/>
              <w:rPr>
                <w:color w:val="000000"/>
                <w:lang w:eastAsia="et-EE"/>
              </w:rPr>
            </w:pPr>
            <w:r w:rsidRPr="002A32BF">
              <w:rPr>
                <w:color w:val="000000"/>
                <w:sz w:val="22"/>
                <w:szCs w:val="22"/>
                <w:lang w:eastAsia="et-EE"/>
              </w:rPr>
              <w:t>EUR</w:t>
            </w:r>
          </w:p>
        </w:tc>
      </w:tr>
      <w:tr w:rsidR="00F30CFC" w:rsidRPr="002A32BF" w14:paraId="22AEDD13" w14:textId="77777777" w:rsidTr="00174CD5">
        <w:trPr>
          <w:trHeight w:val="3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07143C4B" w14:textId="77777777" w:rsidR="00F30CFC" w:rsidRPr="002A32BF" w:rsidRDefault="00F30CFC" w:rsidP="00174CD5">
            <w:pPr>
              <w:jc w:val="center"/>
              <w:rPr>
                <w:color w:val="8080FF"/>
                <w:lang w:eastAsia="et-EE"/>
              </w:rPr>
            </w:pPr>
            <w:r w:rsidRPr="002A32BF">
              <w:rPr>
                <w:color w:val="8080FF"/>
                <w:sz w:val="22"/>
                <w:szCs w:val="22"/>
                <w:lang w:eastAsia="et-EE"/>
              </w:rPr>
              <w:t> </w:t>
            </w:r>
          </w:p>
        </w:tc>
        <w:tc>
          <w:tcPr>
            <w:tcW w:w="960" w:type="dxa"/>
            <w:tcBorders>
              <w:top w:val="nil"/>
              <w:left w:val="nil"/>
              <w:bottom w:val="nil"/>
              <w:right w:val="single" w:sz="8" w:space="0" w:color="auto"/>
            </w:tcBorders>
            <w:shd w:val="clear" w:color="auto" w:fill="auto"/>
            <w:vAlign w:val="center"/>
            <w:hideMark/>
          </w:tcPr>
          <w:p w14:paraId="2E59C318"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960" w:type="dxa"/>
            <w:tcBorders>
              <w:top w:val="nil"/>
              <w:left w:val="nil"/>
              <w:bottom w:val="nil"/>
              <w:right w:val="single" w:sz="8" w:space="0" w:color="auto"/>
            </w:tcBorders>
            <w:shd w:val="clear" w:color="auto" w:fill="auto"/>
            <w:vAlign w:val="center"/>
            <w:hideMark/>
          </w:tcPr>
          <w:p w14:paraId="449E2BE3" w14:textId="77777777" w:rsidR="00F30CFC" w:rsidRPr="002A32BF" w:rsidRDefault="00F30CFC" w:rsidP="00174CD5">
            <w:pPr>
              <w:jc w:val="center"/>
              <w:rPr>
                <w:color w:val="8080FF"/>
                <w:lang w:eastAsia="et-EE"/>
              </w:rPr>
            </w:pPr>
            <w:r w:rsidRPr="002A32BF">
              <w:rPr>
                <w:color w:val="8080FF"/>
                <w:sz w:val="22"/>
                <w:szCs w:val="22"/>
                <w:lang w:eastAsia="et-EE"/>
              </w:rPr>
              <w:t> </w:t>
            </w:r>
          </w:p>
        </w:tc>
        <w:tc>
          <w:tcPr>
            <w:tcW w:w="960" w:type="dxa"/>
            <w:tcBorders>
              <w:top w:val="nil"/>
              <w:left w:val="nil"/>
              <w:bottom w:val="nil"/>
              <w:right w:val="single" w:sz="8" w:space="0" w:color="auto"/>
            </w:tcBorders>
            <w:shd w:val="clear" w:color="auto" w:fill="auto"/>
            <w:vAlign w:val="center"/>
            <w:hideMark/>
          </w:tcPr>
          <w:p w14:paraId="030677D7" w14:textId="77777777" w:rsidR="00F30CFC" w:rsidRPr="002A32BF" w:rsidRDefault="00F30CFC" w:rsidP="00174CD5">
            <w:pPr>
              <w:jc w:val="center"/>
              <w:rPr>
                <w:color w:val="8080FF"/>
                <w:lang w:eastAsia="et-EE"/>
              </w:rPr>
            </w:pPr>
            <w:r w:rsidRPr="002A32BF">
              <w:rPr>
                <w:color w:val="8080FF"/>
                <w:sz w:val="22"/>
                <w:szCs w:val="22"/>
                <w:lang w:eastAsia="et-EE"/>
              </w:rPr>
              <w:t> </w:t>
            </w:r>
          </w:p>
        </w:tc>
        <w:tc>
          <w:tcPr>
            <w:tcW w:w="960" w:type="dxa"/>
            <w:tcBorders>
              <w:top w:val="nil"/>
              <w:left w:val="nil"/>
              <w:bottom w:val="nil"/>
              <w:right w:val="single" w:sz="8" w:space="0" w:color="auto"/>
            </w:tcBorders>
            <w:shd w:val="clear" w:color="auto" w:fill="auto"/>
            <w:vAlign w:val="center"/>
            <w:hideMark/>
          </w:tcPr>
          <w:p w14:paraId="2A301473"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118D531A"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75B9D652"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75600BBC"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00AF268F"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5A66E7C8"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nil"/>
              <w:left w:val="nil"/>
              <w:bottom w:val="nil"/>
              <w:right w:val="single" w:sz="8" w:space="0" w:color="auto"/>
            </w:tcBorders>
            <w:shd w:val="clear" w:color="auto" w:fill="auto"/>
            <w:vAlign w:val="center"/>
            <w:hideMark/>
          </w:tcPr>
          <w:p w14:paraId="38D6C776" w14:textId="77777777" w:rsidR="00F30CFC" w:rsidRPr="002A32BF" w:rsidRDefault="00F30CFC" w:rsidP="00174CD5">
            <w:pPr>
              <w:jc w:val="right"/>
              <w:rPr>
                <w:color w:val="8080FF"/>
                <w:lang w:eastAsia="et-EE"/>
              </w:rPr>
            </w:pPr>
            <w:r w:rsidRPr="002A32BF">
              <w:rPr>
                <w:color w:val="8080FF"/>
                <w:sz w:val="22"/>
                <w:szCs w:val="22"/>
                <w:lang w:eastAsia="et-EE"/>
              </w:rPr>
              <w:t> </w:t>
            </w:r>
          </w:p>
        </w:tc>
      </w:tr>
      <w:tr w:rsidR="00F30CFC" w:rsidRPr="002A32BF" w14:paraId="2C52BF1F" w14:textId="77777777" w:rsidTr="00174CD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63E843" w14:textId="77777777" w:rsidR="00F30CFC" w:rsidRPr="002A32BF" w:rsidRDefault="00F30CFC" w:rsidP="00174CD5">
            <w:pPr>
              <w:rPr>
                <w:color w:val="000000"/>
                <w:lang w:eastAsia="et-EE"/>
              </w:rPr>
            </w:pPr>
            <w:r w:rsidRPr="002A32BF">
              <w:rPr>
                <w:color w:val="000000"/>
                <w:sz w:val="22"/>
                <w:szCs w:val="22"/>
                <w:lang w:eastAsia="et-EE"/>
              </w:rPr>
              <w:t>Kokku:</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D21B51"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F6EEF7C"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DE621AB"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0A66AC0"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5B5A021E"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271025D9"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188AD5B"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636F4663"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EEC24FF" w14:textId="77777777" w:rsidR="00F30CFC" w:rsidRPr="002A32BF" w:rsidRDefault="00F30CFC" w:rsidP="00174CD5">
            <w:pPr>
              <w:jc w:val="right"/>
              <w:rPr>
                <w:color w:val="8080FF"/>
                <w:lang w:eastAsia="et-EE"/>
              </w:rPr>
            </w:pPr>
            <w:r w:rsidRPr="002A32BF">
              <w:rPr>
                <w:color w:val="8080FF"/>
                <w:sz w:val="22"/>
                <w:szCs w:val="22"/>
                <w:lang w:eastAsia="et-EE"/>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04542D19" w14:textId="77777777" w:rsidR="00F30CFC" w:rsidRPr="002A32BF" w:rsidRDefault="00F30CFC" w:rsidP="00174CD5">
            <w:pPr>
              <w:jc w:val="right"/>
              <w:rPr>
                <w:color w:val="8080FF"/>
                <w:lang w:eastAsia="et-EE"/>
              </w:rPr>
            </w:pPr>
            <w:r w:rsidRPr="002A32BF">
              <w:rPr>
                <w:color w:val="8080FF"/>
                <w:sz w:val="22"/>
                <w:szCs w:val="22"/>
                <w:lang w:eastAsia="et-EE"/>
              </w:rPr>
              <w:t> </w:t>
            </w:r>
          </w:p>
        </w:tc>
      </w:tr>
    </w:tbl>
    <w:p w14:paraId="7D7AD416" w14:textId="77777777" w:rsidR="00F30CFC" w:rsidRPr="002A32BF" w:rsidRDefault="00F30CFC" w:rsidP="007B5E28">
      <w:pPr>
        <w:jc w:val="both"/>
        <w:rPr>
          <w:sz w:val="22"/>
          <w:szCs w:val="22"/>
        </w:rPr>
      </w:pPr>
    </w:p>
    <w:p w14:paraId="6C27494C" w14:textId="77777777" w:rsidR="00F30CFC" w:rsidRPr="002A32BF" w:rsidRDefault="00F30CFC" w:rsidP="00F30CFC">
      <w:pPr>
        <w:pStyle w:val="Heading1"/>
        <w:numPr>
          <w:ilvl w:val="0"/>
          <w:numId w:val="29"/>
        </w:numPr>
        <w:spacing w:before="0"/>
        <w:jc w:val="both"/>
        <w:rPr>
          <w:sz w:val="22"/>
          <w:szCs w:val="22"/>
        </w:rPr>
      </w:pPr>
      <w:r w:rsidRPr="002A32BF">
        <w:rPr>
          <w:sz w:val="22"/>
          <w:szCs w:val="22"/>
        </w:rPr>
        <w:t>Poolte allkirjad:</w:t>
      </w:r>
    </w:p>
    <w:p w14:paraId="3A33EBCF" w14:textId="77777777" w:rsidR="00F30CFC" w:rsidRPr="002A32BF" w:rsidRDefault="00F30CFC" w:rsidP="00F30CFC">
      <w:pPr>
        <w:pStyle w:val="Heading1"/>
        <w:numPr>
          <w:ilvl w:val="0"/>
          <w:numId w:val="0"/>
        </w:numPr>
        <w:spacing w:before="0"/>
        <w:jc w:val="both"/>
        <w:rPr>
          <w:bCs/>
          <w:sz w:val="22"/>
          <w:szCs w:val="22"/>
        </w:rPr>
      </w:pPr>
    </w:p>
    <w:p w14:paraId="74EA4022" w14:textId="77777777" w:rsidR="002C6894" w:rsidRPr="002A32BF" w:rsidRDefault="002C6894" w:rsidP="002C6894">
      <w:pPr>
        <w:spacing w:before="120" w:after="120"/>
        <w:jc w:val="both"/>
        <w:rPr>
          <w:b/>
          <w:bCs/>
          <w:sz w:val="22"/>
          <w:szCs w:val="22"/>
        </w:rPr>
      </w:pPr>
      <w:r w:rsidRPr="002A32BF">
        <w:rPr>
          <w:b/>
          <w:bCs/>
          <w:sz w:val="22"/>
          <w:szCs w:val="22"/>
        </w:rPr>
        <w:t>Süsteemihaldur</w:t>
      </w:r>
      <w:r w:rsidRPr="002A32BF">
        <w:rPr>
          <w:b/>
          <w:bCs/>
          <w:sz w:val="22"/>
          <w:szCs w:val="22"/>
        </w:rPr>
        <w:tab/>
      </w:r>
      <w:r w:rsidRPr="002A32BF">
        <w:rPr>
          <w:b/>
          <w:bCs/>
          <w:sz w:val="22"/>
          <w:szCs w:val="22"/>
        </w:rPr>
        <w:tab/>
      </w:r>
      <w:r w:rsidRPr="002A32BF">
        <w:rPr>
          <w:b/>
          <w:bCs/>
          <w:sz w:val="22"/>
          <w:szCs w:val="22"/>
        </w:rPr>
        <w:tab/>
      </w:r>
      <w:r w:rsidRPr="002A32BF">
        <w:rPr>
          <w:b/>
          <w:bCs/>
          <w:sz w:val="22"/>
          <w:szCs w:val="22"/>
        </w:rPr>
        <w:tab/>
        <w:t>Bilansihaldur</w:t>
      </w:r>
    </w:p>
    <w:p w14:paraId="59AB53AF" w14:textId="77777777" w:rsidR="002C6894" w:rsidRPr="002A32BF" w:rsidRDefault="002C6894" w:rsidP="002C6894">
      <w:pPr>
        <w:tabs>
          <w:tab w:val="left" w:pos="567"/>
        </w:tabs>
        <w:spacing w:before="120" w:after="120"/>
        <w:jc w:val="both"/>
        <w:rPr>
          <w:sz w:val="22"/>
          <w:szCs w:val="22"/>
        </w:rPr>
      </w:pPr>
      <w:r w:rsidRPr="002A32BF">
        <w:rPr>
          <w:sz w:val="22"/>
          <w:szCs w:val="22"/>
        </w:rPr>
        <w:tab/>
      </w:r>
    </w:p>
    <w:tbl>
      <w:tblPr>
        <w:tblW w:w="0" w:type="auto"/>
        <w:jc w:val="center"/>
        <w:tblLook w:val="00A0" w:firstRow="1" w:lastRow="0" w:firstColumn="1" w:lastColumn="0" w:noHBand="0" w:noVBand="0"/>
      </w:tblPr>
      <w:tblGrid>
        <w:gridCol w:w="4059"/>
        <w:gridCol w:w="4489"/>
      </w:tblGrid>
      <w:tr w:rsidR="002C6894" w:rsidRPr="002A32BF" w14:paraId="1EEB5CFA" w14:textId="77777777" w:rsidTr="00964D31">
        <w:trPr>
          <w:jc w:val="center"/>
        </w:trPr>
        <w:tc>
          <w:tcPr>
            <w:tcW w:w="4068" w:type="dxa"/>
          </w:tcPr>
          <w:p w14:paraId="1CB639D1" w14:textId="77777777" w:rsidR="002C6894" w:rsidRPr="002A32BF" w:rsidRDefault="002C6894" w:rsidP="00964D31">
            <w:pPr>
              <w:rPr>
                <w:sz w:val="22"/>
                <w:szCs w:val="22"/>
              </w:rPr>
            </w:pPr>
            <w:r w:rsidRPr="002A32BF">
              <w:rPr>
                <w:sz w:val="22"/>
                <w:szCs w:val="22"/>
              </w:rPr>
              <w:t>/allkirjastatud digitaalselt/</w:t>
            </w:r>
            <w:r w:rsidRPr="002A32BF">
              <w:rPr>
                <w:sz w:val="22"/>
                <w:szCs w:val="22"/>
              </w:rPr>
              <w:tab/>
            </w:r>
          </w:p>
        </w:tc>
        <w:tc>
          <w:tcPr>
            <w:tcW w:w="4500" w:type="dxa"/>
          </w:tcPr>
          <w:p w14:paraId="15D4C738" w14:textId="77777777" w:rsidR="002C6894" w:rsidRPr="002A32BF" w:rsidRDefault="002C6894" w:rsidP="00964D31">
            <w:pPr>
              <w:rPr>
                <w:sz w:val="22"/>
                <w:szCs w:val="22"/>
              </w:rPr>
            </w:pPr>
            <w:r w:rsidRPr="002A32BF">
              <w:rPr>
                <w:sz w:val="22"/>
                <w:szCs w:val="22"/>
              </w:rPr>
              <w:t>/allkirjastatud digitaalselt/</w:t>
            </w:r>
          </w:p>
        </w:tc>
      </w:tr>
      <w:tr w:rsidR="002C6894" w:rsidRPr="00473718" w14:paraId="0180DB5E" w14:textId="77777777" w:rsidTr="00964D31">
        <w:trPr>
          <w:jc w:val="center"/>
        </w:trPr>
        <w:tc>
          <w:tcPr>
            <w:tcW w:w="4068" w:type="dxa"/>
          </w:tcPr>
          <w:p w14:paraId="465AAE0C" w14:textId="77777777" w:rsidR="002C6894" w:rsidRPr="002A32BF" w:rsidRDefault="002C6894" w:rsidP="00964D31">
            <w:pPr>
              <w:rPr>
                <w:sz w:val="22"/>
                <w:szCs w:val="22"/>
              </w:rPr>
            </w:pPr>
            <w:r w:rsidRPr="002A32BF">
              <w:rPr>
                <w:sz w:val="22"/>
                <w:szCs w:val="22"/>
              </w:rPr>
              <w:t xml:space="preserve">Taavi Veskimägi </w:t>
            </w:r>
          </w:p>
          <w:p w14:paraId="1FD3EA4A" w14:textId="77777777" w:rsidR="002C6894" w:rsidRPr="002A32BF" w:rsidRDefault="002C6894" w:rsidP="00964D31">
            <w:pPr>
              <w:rPr>
                <w:sz w:val="22"/>
                <w:szCs w:val="22"/>
              </w:rPr>
            </w:pPr>
          </w:p>
        </w:tc>
        <w:tc>
          <w:tcPr>
            <w:tcW w:w="4500" w:type="dxa"/>
          </w:tcPr>
          <w:p w14:paraId="1FCFC9E3" w14:textId="66AF167D" w:rsidR="002C6894" w:rsidRPr="00473718" w:rsidRDefault="009E4D70" w:rsidP="00964D31">
            <w:pPr>
              <w:rPr>
                <w:sz w:val="22"/>
                <w:szCs w:val="22"/>
              </w:rPr>
            </w:pPr>
            <w:r w:rsidRPr="009E4D70">
              <w:rPr>
                <w:sz w:val="22"/>
                <w:szCs w:val="22"/>
                <w:highlight w:val="yellow"/>
              </w:rPr>
              <w:t>…..</w:t>
            </w:r>
          </w:p>
        </w:tc>
      </w:tr>
    </w:tbl>
    <w:p w14:paraId="476C46B7" w14:textId="77777777" w:rsidR="00DD5E53" w:rsidRPr="00473718" w:rsidRDefault="00DD5E53" w:rsidP="0064001C">
      <w:pPr>
        <w:spacing w:before="120" w:after="120"/>
        <w:rPr>
          <w:b/>
          <w:bCs/>
        </w:rPr>
      </w:pPr>
    </w:p>
    <w:sectPr w:rsidR="00DD5E53" w:rsidRPr="00473718" w:rsidSect="00F30CFC">
      <w:pgSz w:w="11906" w:h="16838"/>
      <w:pgMar w:top="1440" w:right="155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2" w15:restartNumberingAfterBreak="0">
    <w:nsid w:val="06D95B27"/>
    <w:multiLevelType w:val="multilevel"/>
    <w:tmpl w:val="B6685A14"/>
    <w:lvl w:ilvl="0">
      <w:start w:val="1"/>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A323F6B"/>
    <w:multiLevelType w:val="hybridMultilevel"/>
    <w:tmpl w:val="8E305FD6"/>
    <w:lvl w:ilvl="0" w:tplc="3C4A3DEA">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0635B7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5A46008"/>
    <w:multiLevelType w:val="multilevel"/>
    <w:tmpl w:val="93081640"/>
    <w:lvl w:ilvl="0">
      <w:start w:val="4"/>
      <w:numFmt w:val="decimal"/>
      <w:lvlText w:val="%1."/>
      <w:lvlJc w:val="left"/>
      <w:pPr>
        <w:tabs>
          <w:tab w:val="num" w:pos="720"/>
        </w:tabs>
        <w:ind w:left="720" w:hanging="360"/>
      </w:pPr>
      <w:rPr>
        <w:rFonts w:cs="Times New Roman" w:hint="default"/>
      </w:rPr>
    </w:lvl>
    <w:lvl w:ilvl="1">
      <w:start w:val="9"/>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190B01A6"/>
    <w:multiLevelType w:val="hybridMultilevel"/>
    <w:tmpl w:val="A99E89B2"/>
    <w:lvl w:ilvl="0" w:tplc="1A02180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E4811"/>
    <w:multiLevelType w:val="hybridMultilevel"/>
    <w:tmpl w:val="301ABB6C"/>
    <w:lvl w:ilvl="0" w:tplc="77240AE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F0759"/>
    <w:multiLevelType w:val="multilevel"/>
    <w:tmpl w:val="FBFC7FC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E142CE3"/>
    <w:multiLevelType w:val="multilevel"/>
    <w:tmpl w:val="36B2A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56A7C"/>
    <w:multiLevelType w:val="multilevel"/>
    <w:tmpl w:val="DBCA69C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7B2187D"/>
    <w:multiLevelType w:val="hybridMultilevel"/>
    <w:tmpl w:val="E65C0F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B43366"/>
    <w:multiLevelType w:val="multilevel"/>
    <w:tmpl w:val="1F2E7E2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4" w15:restartNumberingAfterBreak="0">
    <w:nsid w:val="29B71073"/>
    <w:multiLevelType w:val="hybridMultilevel"/>
    <w:tmpl w:val="AA3A1E2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7F793E"/>
    <w:multiLevelType w:val="multilevel"/>
    <w:tmpl w:val="1BF629A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6" w15:restartNumberingAfterBreak="0">
    <w:nsid w:val="39D55465"/>
    <w:multiLevelType w:val="hybridMultilevel"/>
    <w:tmpl w:val="4E78CFD8"/>
    <w:lvl w:ilvl="0" w:tplc="04090017">
      <w:start w:val="1"/>
      <w:numFmt w:val="lowerLetter"/>
      <w:lvlText w:val="%1)"/>
      <w:lvlJc w:val="left"/>
      <w:pPr>
        <w:tabs>
          <w:tab w:val="num" w:pos="720"/>
        </w:tabs>
        <w:ind w:left="720" w:hanging="360"/>
      </w:pPr>
      <w:rPr>
        <w:rFonts w:cs="Times New Roman" w:hint="default"/>
        <w:color w:val="auto"/>
      </w:rPr>
    </w:lvl>
    <w:lvl w:ilvl="1" w:tplc="4AF88C3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396330"/>
    <w:multiLevelType w:val="multilevel"/>
    <w:tmpl w:val="27925DCA"/>
    <w:lvl w:ilvl="0">
      <w:start w:val="1"/>
      <w:numFmt w:val="decimal"/>
      <w:pStyle w:val="Heading1"/>
      <w:suff w:val="space"/>
      <w:lvlText w:val="%1"/>
      <w:lvlJc w:val="left"/>
      <w:pPr>
        <w:ind w:left="737" w:hanging="737"/>
      </w:pPr>
      <w:rPr>
        <w:rFonts w:ascii="Times New Roman" w:hAnsi="Times New Roman" w:cs="Times New Roman" w:hint="default"/>
        <w:b/>
        <w:i w:val="0"/>
        <w:sz w:val="24"/>
      </w:rPr>
    </w:lvl>
    <w:lvl w:ilvl="1">
      <w:start w:val="1"/>
      <w:numFmt w:val="decimal"/>
      <w:pStyle w:val="Heading2"/>
      <w:suff w:val="space"/>
      <w:lvlText w:val="%1.%2"/>
      <w:lvlJc w:val="left"/>
      <w:pPr>
        <w:ind w:left="576" w:hanging="292"/>
      </w:pPr>
      <w:rPr>
        <w:rFonts w:ascii="Times New Roman" w:hAnsi="Times New Roman" w:cs="Times New Roman" w:hint="default"/>
        <w:b w:val="0"/>
        <w:i w:val="0"/>
        <w:sz w:val="24"/>
      </w:rPr>
    </w:lvl>
    <w:lvl w:ilvl="2">
      <w:start w:val="1"/>
      <w:numFmt w:val="decimal"/>
      <w:pStyle w:val="Heading3"/>
      <w:suff w:val="space"/>
      <w:lvlText w:val="%1.%2.%3"/>
      <w:lvlJc w:val="left"/>
      <w:pPr>
        <w:ind w:left="720" w:hanging="153"/>
      </w:pPr>
      <w:rPr>
        <w:rFonts w:ascii="Times New Roman" w:hAnsi="Times New Roman" w:cs="Times New Roman" w:hint="default"/>
        <w:b w:val="0"/>
        <w:i w:val="0"/>
        <w:sz w:val="24"/>
      </w:rPr>
    </w:lvl>
    <w:lvl w:ilvl="3">
      <w:start w:val="1"/>
      <w:numFmt w:val="decimal"/>
      <w:pStyle w:val="Heading4"/>
      <w:suff w:val="space"/>
      <w:lvlText w:val="%1.%2.%3.%4"/>
      <w:lvlJc w:val="left"/>
      <w:pPr>
        <w:ind w:left="864" w:hanging="864"/>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42550887"/>
    <w:multiLevelType w:val="multilevel"/>
    <w:tmpl w:val="E6EC9D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5D0E86"/>
    <w:multiLevelType w:val="hybridMultilevel"/>
    <w:tmpl w:val="AA3A0B1E"/>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20" w15:restartNumberingAfterBreak="0">
    <w:nsid w:val="4D9505E7"/>
    <w:multiLevelType w:val="multilevel"/>
    <w:tmpl w:val="3AB0BC94"/>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15:restartNumberingAfterBreak="0">
    <w:nsid w:val="535642BD"/>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1624962"/>
    <w:multiLevelType w:val="hybridMultilevel"/>
    <w:tmpl w:val="EDDCCE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774F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ABC0530"/>
    <w:multiLevelType w:val="hybridMultilevel"/>
    <w:tmpl w:val="B8A8984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89066F"/>
    <w:multiLevelType w:val="multilevel"/>
    <w:tmpl w:val="17928BF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03A2823"/>
    <w:multiLevelType w:val="hybridMultilevel"/>
    <w:tmpl w:val="FA4AA4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2B42DC9"/>
    <w:multiLevelType w:val="multilevel"/>
    <w:tmpl w:val="5CAC948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5F91E93"/>
    <w:multiLevelType w:val="multilevel"/>
    <w:tmpl w:val="298AE4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B670A7"/>
    <w:multiLevelType w:val="hybridMultilevel"/>
    <w:tmpl w:val="0E6EEBE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BA666D2"/>
    <w:multiLevelType w:val="multilevel"/>
    <w:tmpl w:val="C3A4E62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7"/>
  </w:num>
  <w:num w:numId="2">
    <w:abstractNumId w:val="2"/>
  </w:num>
  <w:num w:numId="3">
    <w:abstractNumId w:val="6"/>
  </w:num>
  <w:num w:numId="4">
    <w:abstractNumId w:val="31"/>
  </w:num>
  <w:num w:numId="5">
    <w:abstractNumId w:val="27"/>
  </w:num>
  <w:num w:numId="6">
    <w:abstractNumId w:val="23"/>
  </w:num>
  <w:num w:numId="7">
    <w:abstractNumId w:val="7"/>
  </w:num>
  <w:num w:numId="8">
    <w:abstractNumId w:val="14"/>
  </w:num>
  <w:num w:numId="9">
    <w:abstractNumId w:val="11"/>
  </w:num>
  <w:num w:numId="10">
    <w:abstractNumId w:val="1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22"/>
  </w:num>
  <w:num w:numId="16">
    <w:abstractNumId w:val="18"/>
  </w:num>
  <w:num w:numId="17">
    <w:abstractNumId w:val="4"/>
  </w:num>
  <w:num w:numId="18">
    <w:abstractNumId w:val="9"/>
  </w:num>
  <w:num w:numId="19">
    <w:abstractNumId w:val="19"/>
  </w:num>
  <w:num w:numId="20">
    <w:abstractNumId w:val="26"/>
  </w:num>
  <w:num w:numId="21">
    <w:abstractNumId w:val="30"/>
  </w:num>
  <w:num w:numId="22">
    <w:abstractNumId w:val="20"/>
  </w:num>
  <w:num w:numId="23">
    <w:abstractNumId w:val="15"/>
  </w:num>
  <w:num w:numId="24">
    <w:abstractNumId w:val="28"/>
  </w:num>
  <w:num w:numId="25">
    <w:abstractNumId w:val="3"/>
  </w:num>
  <w:num w:numId="26">
    <w:abstractNumId w:val="25"/>
  </w:num>
  <w:num w:numId="27">
    <w:abstractNumId w:val="13"/>
  </w:num>
  <w:num w:numId="28">
    <w:abstractNumId w:val="17"/>
    <w:lvlOverride w:ilvl="0">
      <w:startOverride w:val="1"/>
    </w:lvlOverride>
    <w:lvlOverride w:ilvl="1">
      <w:startOverride w:val="1"/>
    </w:lvlOverride>
  </w:num>
  <w:num w:numId="29">
    <w:abstractNumId w:val="10"/>
  </w:num>
  <w:num w:numId="30">
    <w:abstractNumId w:val="5"/>
  </w:num>
  <w:num w:numId="31">
    <w:abstractNumId w:val="1"/>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4D"/>
    <w:rsid w:val="00010589"/>
    <w:rsid w:val="00026824"/>
    <w:rsid w:val="0006317A"/>
    <w:rsid w:val="000640F9"/>
    <w:rsid w:val="000A3B6E"/>
    <w:rsid w:val="000A7FE4"/>
    <w:rsid w:val="000C0FC0"/>
    <w:rsid w:val="000D2E94"/>
    <w:rsid w:val="000D4CE7"/>
    <w:rsid w:val="000F310B"/>
    <w:rsid w:val="0012134D"/>
    <w:rsid w:val="00121D18"/>
    <w:rsid w:val="00123924"/>
    <w:rsid w:val="0016170D"/>
    <w:rsid w:val="00174CD5"/>
    <w:rsid w:val="0019329F"/>
    <w:rsid w:val="001C15D4"/>
    <w:rsid w:val="002334C2"/>
    <w:rsid w:val="0023719C"/>
    <w:rsid w:val="002511FD"/>
    <w:rsid w:val="00257DC1"/>
    <w:rsid w:val="002611F3"/>
    <w:rsid w:val="00262A3D"/>
    <w:rsid w:val="0027261F"/>
    <w:rsid w:val="002A32BF"/>
    <w:rsid w:val="002C6894"/>
    <w:rsid w:val="00321F59"/>
    <w:rsid w:val="003317BE"/>
    <w:rsid w:val="00341D91"/>
    <w:rsid w:val="00363CB3"/>
    <w:rsid w:val="00376FF7"/>
    <w:rsid w:val="00386F76"/>
    <w:rsid w:val="00390BFC"/>
    <w:rsid w:val="00397C77"/>
    <w:rsid w:val="003A03FD"/>
    <w:rsid w:val="003A2606"/>
    <w:rsid w:val="003C2081"/>
    <w:rsid w:val="003F40FC"/>
    <w:rsid w:val="003F4814"/>
    <w:rsid w:val="00403D21"/>
    <w:rsid w:val="004071C2"/>
    <w:rsid w:val="00424F0E"/>
    <w:rsid w:val="00473718"/>
    <w:rsid w:val="00486ACA"/>
    <w:rsid w:val="004B3254"/>
    <w:rsid w:val="00533717"/>
    <w:rsid w:val="00575E65"/>
    <w:rsid w:val="005931ED"/>
    <w:rsid w:val="005E21C7"/>
    <w:rsid w:val="00602C4C"/>
    <w:rsid w:val="0061546E"/>
    <w:rsid w:val="00630115"/>
    <w:rsid w:val="00630469"/>
    <w:rsid w:val="0064001C"/>
    <w:rsid w:val="0064662A"/>
    <w:rsid w:val="00647C5A"/>
    <w:rsid w:val="00666F63"/>
    <w:rsid w:val="00681F9F"/>
    <w:rsid w:val="006B5FAA"/>
    <w:rsid w:val="006C1900"/>
    <w:rsid w:val="006C7202"/>
    <w:rsid w:val="00717C89"/>
    <w:rsid w:val="007920B4"/>
    <w:rsid w:val="007944E4"/>
    <w:rsid w:val="007B5E28"/>
    <w:rsid w:val="007F6F58"/>
    <w:rsid w:val="00854243"/>
    <w:rsid w:val="0085543F"/>
    <w:rsid w:val="008E0BDD"/>
    <w:rsid w:val="00960D1A"/>
    <w:rsid w:val="00964D31"/>
    <w:rsid w:val="009954B6"/>
    <w:rsid w:val="009B0C18"/>
    <w:rsid w:val="009B75A7"/>
    <w:rsid w:val="009E4D70"/>
    <w:rsid w:val="00A63004"/>
    <w:rsid w:val="00AE1FFB"/>
    <w:rsid w:val="00B14CDA"/>
    <w:rsid w:val="00B14E6C"/>
    <w:rsid w:val="00B2128B"/>
    <w:rsid w:val="00B24A76"/>
    <w:rsid w:val="00B40BE7"/>
    <w:rsid w:val="00B64660"/>
    <w:rsid w:val="00B81657"/>
    <w:rsid w:val="00B85178"/>
    <w:rsid w:val="00BD4B7A"/>
    <w:rsid w:val="00BF5537"/>
    <w:rsid w:val="00C25A71"/>
    <w:rsid w:val="00C34AAE"/>
    <w:rsid w:val="00C37886"/>
    <w:rsid w:val="00C40151"/>
    <w:rsid w:val="00C47DDD"/>
    <w:rsid w:val="00C9304F"/>
    <w:rsid w:val="00C9419E"/>
    <w:rsid w:val="00CC2955"/>
    <w:rsid w:val="00CC47F0"/>
    <w:rsid w:val="00D332B6"/>
    <w:rsid w:val="00D453D1"/>
    <w:rsid w:val="00D605F1"/>
    <w:rsid w:val="00D756E1"/>
    <w:rsid w:val="00D90430"/>
    <w:rsid w:val="00DC3188"/>
    <w:rsid w:val="00DD5E53"/>
    <w:rsid w:val="00DE2049"/>
    <w:rsid w:val="00E13D7F"/>
    <w:rsid w:val="00E60978"/>
    <w:rsid w:val="00E723B5"/>
    <w:rsid w:val="00E83C2D"/>
    <w:rsid w:val="00E85572"/>
    <w:rsid w:val="00E95DAF"/>
    <w:rsid w:val="00EF3D6A"/>
    <w:rsid w:val="00F120C4"/>
    <w:rsid w:val="00F2673F"/>
    <w:rsid w:val="00F30CFC"/>
    <w:rsid w:val="00F3167F"/>
    <w:rsid w:val="00F36B05"/>
    <w:rsid w:val="00F53EA4"/>
    <w:rsid w:val="00F5507E"/>
    <w:rsid w:val="00F77155"/>
    <w:rsid w:val="00FB2A99"/>
    <w:rsid w:val="00FD42CE"/>
    <w:rsid w:val="00FE0683"/>
    <w:rsid w:val="00FE44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77218"/>
  <w14:defaultImageDpi w14:val="0"/>
  <w15:chartTrackingRefBased/>
  <w15:docId w15:val="{3689E148-150E-4626-A587-A80DFD5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4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2134D"/>
    <w:pPr>
      <w:numPr>
        <w:numId w:val="1"/>
      </w:numPr>
      <w:spacing w:before="480"/>
      <w:outlineLvl w:val="0"/>
    </w:pPr>
    <w:rPr>
      <w:b/>
      <w:szCs w:val="20"/>
    </w:rPr>
  </w:style>
  <w:style w:type="paragraph" w:styleId="Heading2">
    <w:name w:val="heading 2"/>
    <w:aliases w:val="Char"/>
    <w:basedOn w:val="Normal"/>
    <w:next w:val="Normal"/>
    <w:link w:val="Heading2Char"/>
    <w:uiPriority w:val="99"/>
    <w:qFormat/>
    <w:rsid w:val="0012134D"/>
    <w:pPr>
      <w:numPr>
        <w:ilvl w:val="1"/>
        <w:numId w:val="1"/>
      </w:numPr>
      <w:spacing w:before="120"/>
      <w:jc w:val="both"/>
      <w:outlineLvl w:val="1"/>
    </w:pPr>
    <w:rPr>
      <w:szCs w:val="20"/>
      <w:lang w:val="en-GB"/>
    </w:rPr>
  </w:style>
  <w:style w:type="paragraph" w:styleId="Heading3">
    <w:name w:val="heading 3"/>
    <w:aliases w:val="Headi3,Heading 3 Char1 Char,Heading 3 Char Char Char,Char1 Char Char Char,Char1 Char1 Char"/>
    <w:basedOn w:val="Normal"/>
    <w:next w:val="Normal"/>
    <w:link w:val="Heading3Char"/>
    <w:uiPriority w:val="99"/>
    <w:qFormat/>
    <w:rsid w:val="0012134D"/>
    <w:pPr>
      <w:keepNext/>
      <w:numPr>
        <w:ilvl w:val="2"/>
        <w:numId w:val="1"/>
      </w:numPr>
      <w:spacing w:before="120"/>
      <w:jc w:val="both"/>
      <w:outlineLvl w:val="2"/>
    </w:pPr>
    <w:rPr>
      <w:szCs w:val="20"/>
    </w:rPr>
  </w:style>
  <w:style w:type="paragraph" w:styleId="Heading4">
    <w:name w:val="heading 4"/>
    <w:basedOn w:val="Normal"/>
    <w:next w:val="Normal"/>
    <w:link w:val="Heading4Char"/>
    <w:uiPriority w:val="99"/>
    <w:qFormat/>
    <w:rsid w:val="0012134D"/>
    <w:pPr>
      <w:keepNext/>
      <w:numPr>
        <w:ilvl w:val="3"/>
        <w:numId w:val="1"/>
      </w:numPr>
      <w:outlineLvl w:val="3"/>
    </w:pPr>
    <w:rPr>
      <w:rFonts w:ascii="Garamond" w:hAnsi="Garamond"/>
      <w:szCs w:val="20"/>
    </w:rPr>
  </w:style>
  <w:style w:type="paragraph" w:styleId="Heading5">
    <w:name w:val="heading 5"/>
    <w:basedOn w:val="Normal"/>
    <w:next w:val="Normal"/>
    <w:link w:val="Heading5Char"/>
    <w:uiPriority w:val="99"/>
    <w:qFormat/>
    <w:rsid w:val="0012134D"/>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outlineLvl w:val="4"/>
    </w:pPr>
    <w:rPr>
      <w:szCs w:val="20"/>
    </w:rPr>
  </w:style>
  <w:style w:type="paragraph" w:styleId="Heading6">
    <w:name w:val="heading 6"/>
    <w:basedOn w:val="Normal"/>
    <w:next w:val="Normal"/>
    <w:link w:val="Heading6Char"/>
    <w:uiPriority w:val="99"/>
    <w:qFormat/>
    <w:rsid w:val="0012134D"/>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12134D"/>
    <w:pPr>
      <w:numPr>
        <w:ilvl w:val="6"/>
        <w:numId w:val="1"/>
      </w:numPr>
      <w:spacing w:before="240" w:after="60"/>
      <w:outlineLvl w:val="6"/>
    </w:pPr>
    <w:rPr>
      <w:lang w:val="en-GB"/>
    </w:rPr>
  </w:style>
  <w:style w:type="paragraph" w:styleId="Heading8">
    <w:name w:val="heading 8"/>
    <w:basedOn w:val="Normal"/>
    <w:next w:val="Normal"/>
    <w:link w:val="Heading8Char"/>
    <w:uiPriority w:val="99"/>
    <w:qFormat/>
    <w:rsid w:val="0012134D"/>
    <w:pPr>
      <w:keepNext/>
      <w:numPr>
        <w:ilvl w:val="7"/>
        <w:numId w:val="1"/>
      </w:numPr>
      <w:jc w:val="both"/>
      <w:outlineLvl w:val="7"/>
    </w:pPr>
    <w:rPr>
      <w:b/>
      <w:szCs w:val="20"/>
    </w:rPr>
  </w:style>
  <w:style w:type="paragraph" w:styleId="Heading9">
    <w:name w:val="heading 9"/>
    <w:basedOn w:val="Normal"/>
    <w:next w:val="Normal"/>
    <w:link w:val="Heading9Char"/>
    <w:uiPriority w:val="99"/>
    <w:qFormat/>
    <w:rsid w:val="0012134D"/>
    <w:pPr>
      <w:keepNext/>
      <w:numPr>
        <w:ilvl w:val="8"/>
        <w:numId w:val="1"/>
      </w:numPr>
      <w:tabs>
        <w:tab w:val="left" w:pos="567"/>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134D"/>
    <w:rPr>
      <w:rFonts w:ascii="Times New Roman" w:hAnsi="Times New Roman"/>
      <w:b/>
      <w:sz w:val="20"/>
    </w:rPr>
  </w:style>
  <w:style w:type="character" w:customStyle="1" w:styleId="Heading2Char">
    <w:name w:val="Heading 2 Char"/>
    <w:aliases w:val="Char Char"/>
    <w:link w:val="Heading2"/>
    <w:uiPriority w:val="99"/>
    <w:locked/>
    <w:rsid w:val="0012134D"/>
    <w:rPr>
      <w:rFonts w:ascii="Times New Roman" w:hAnsi="Times New Roman"/>
      <w:sz w:val="20"/>
      <w:lang w:val="en-GB" w:eastAsia="x-none"/>
    </w:rPr>
  </w:style>
  <w:style w:type="character" w:customStyle="1" w:styleId="Heading3Char">
    <w:name w:val="Heading 3 Char"/>
    <w:aliases w:val="Headi3 Char,Heading 3 Char1 Char Char,Heading 3 Char Char Char Char,Char1 Char Char Char Char,Char1 Char1 Char Char"/>
    <w:link w:val="Heading3"/>
    <w:uiPriority w:val="99"/>
    <w:locked/>
    <w:rsid w:val="0012134D"/>
    <w:rPr>
      <w:rFonts w:ascii="Times New Roman" w:hAnsi="Times New Roman"/>
      <w:sz w:val="20"/>
    </w:rPr>
  </w:style>
  <w:style w:type="character" w:customStyle="1" w:styleId="Heading4Char">
    <w:name w:val="Heading 4 Char"/>
    <w:link w:val="Heading4"/>
    <w:uiPriority w:val="99"/>
    <w:locked/>
    <w:rsid w:val="0012134D"/>
    <w:rPr>
      <w:rFonts w:ascii="Garamond" w:hAnsi="Garamond"/>
      <w:sz w:val="20"/>
    </w:rPr>
  </w:style>
  <w:style w:type="character" w:customStyle="1" w:styleId="Heading5Char">
    <w:name w:val="Heading 5 Char"/>
    <w:link w:val="Heading5"/>
    <w:uiPriority w:val="99"/>
    <w:locked/>
    <w:rsid w:val="0012134D"/>
    <w:rPr>
      <w:rFonts w:ascii="Times New Roman" w:hAnsi="Times New Roman"/>
      <w:sz w:val="20"/>
      <w:shd w:val="solid" w:color="FFFFFF" w:fill="FFFFFF"/>
    </w:rPr>
  </w:style>
  <w:style w:type="character" w:customStyle="1" w:styleId="Heading6Char">
    <w:name w:val="Heading 6 Char"/>
    <w:link w:val="Heading6"/>
    <w:uiPriority w:val="99"/>
    <w:locked/>
    <w:rsid w:val="0012134D"/>
    <w:rPr>
      <w:rFonts w:ascii="Times New Roman" w:hAnsi="Times New Roman"/>
      <w:b/>
      <w:lang w:val="en-GB" w:eastAsia="x-none"/>
    </w:rPr>
  </w:style>
  <w:style w:type="character" w:customStyle="1" w:styleId="Heading7Char">
    <w:name w:val="Heading 7 Char"/>
    <w:link w:val="Heading7"/>
    <w:uiPriority w:val="99"/>
    <w:locked/>
    <w:rsid w:val="0012134D"/>
    <w:rPr>
      <w:rFonts w:ascii="Times New Roman" w:hAnsi="Times New Roman"/>
      <w:sz w:val="24"/>
      <w:lang w:val="en-GB" w:eastAsia="x-none"/>
    </w:rPr>
  </w:style>
  <w:style w:type="character" w:customStyle="1" w:styleId="Heading8Char">
    <w:name w:val="Heading 8 Char"/>
    <w:link w:val="Heading8"/>
    <w:uiPriority w:val="99"/>
    <w:locked/>
    <w:rsid w:val="0012134D"/>
    <w:rPr>
      <w:rFonts w:ascii="Times New Roman" w:hAnsi="Times New Roman"/>
      <w:b/>
      <w:sz w:val="20"/>
    </w:rPr>
  </w:style>
  <w:style w:type="character" w:customStyle="1" w:styleId="Heading9Char">
    <w:name w:val="Heading 9 Char"/>
    <w:link w:val="Heading9"/>
    <w:uiPriority w:val="99"/>
    <w:locked/>
    <w:rsid w:val="0012134D"/>
    <w:rPr>
      <w:rFonts w:ascii="Times New Roman" w:hAnsi="Times New Roman"/>
      <w:sz w:val="20"/>
    </w:rPr>
  </w:style>
  <w:style w:type="paragraph" w:styleId="BodyText2">
    <w:name w:val="Body Text 2"/>
    <w:basedOn w:val="Normal"/>
    <w:link w:val="BodyText2Char"/>
    <w:uiPriority w:val="99"/>
    <w:rsid w:val="0012134D"/>
    <w:pPr>
      <w:jc w:val="both"/>
    </w:pPr>
    <w:rPr>
      <w:sz w:val="22"/>
    </w:rPr>
  </w:style>
  <w:style w:type="character" w:customStyle="1" w:styleId="BodyText2Char">
    <w:name w:val="Body Text 2 Char"/>
    <w:link w:val="BodyText2"/>
    <w:uiPriority w:val="99"/>
    <w:locked/>
    <w:rsid w:val="0012134D"/>
    <w:rPr>
      <w:rFonts w:ascii="Times New Roman" w:hAnsi="Times New Roman"/>
      <w:sz w:val="24"/>
    </w:rPr>
  </w:style>
  <w:style w:type="paragraph" w:styleId="BodyText">
    <w:name w:val="Body Text"/>
    <w:basedOn w:val="Normal"/>
    <w:link w:val="BodyTextChar"/>
    <w:uiPriority w:val="99"/>
    <w:rsid w:val="0012134D"/>
    <w:pPr>
      <w:tabs>
        <w:tab w:val="num" w:pos="2835"/>
      </w:tabs>
      <w:jc w:val="both"/>
    </w:pPr>
    <w:rPr>
      <w:szCs w:val="20"/>
      <w:lang w:val="en-GB"/>
    </w:rPr>
  </w:style>
  <w:style w:type="character" w:customStyle="1" w:styleId="BodyTextChar">
    <w:name w:val="Body Text Char"/>
    <w:link w:val="BodyText"/>
    <w:uiPriority w:val="99"/>
    <w:locked/>
    <w:rsid w:val="0012134D"/>
    <w:rPr>
      <w:rFonts w:ascii="Times New Roman" w:hAnsi="Times New Roman"/>
      <w:sz w:val="20"/>
      <w:lang w:val="en-GB" w:eastAsia="x-none"/>
    </w:rPr>
  </w:style>
  <w:style w:type="paragraph" w:styleId="CommentText">
    <w:name w:val="annotation text"/>
    <w:basedOn w:val="Normal"/>
    <w:link w:val="CommentTextChar"/>
    <w:uiPriority w:val="99"/>
    <w:semiHidden/>
    <w:rsid w:val="0012134D"/>
    <w:pPr>
      <w:suppressAutoHyphens/>
    </w:pPr>
    <w:rPr>
      <w:rFonts w:ascii="Garamond" w:hAnsi="Garamond"/>
      <w:szCs w:val="20"/>
      <w:lang w:eastAsia="ar-SA"/>
    </w:rPr>
  </w:style>
  <w:style w:type="character" w:customStyle="1" w:styleId="CommentTextChar">
    <w:name w:val="Comment Text Char"/>
    <w:link w:val="CommentText"/>
    <w:uiPriority w:val="99"/>
    <w:semiHidden/>
    <w:locked/>
    <w:rsid w:val="0012134D"/>
    <w:rPr>
      <w:rFonts w:ascii="Garamond" w:hAnsi="Garamond"/>
      <w:sz w:val="20"/>
      <w:lang w:val="x-none" w:eastAsia="ar-SA" w:bidi="ar-SA"/>
    </w:rPr>
  </w:style>
  <w:style w:type="character" w:styleId="Hyperlink">
    <w:name w:val="Hyperlink"/>
    <w:uiPriority w:val="99"/>
    <w:rsid w:val="0012134D"/>
    <w:rPr>
      <w:rFonts w:cs="Times New Roman"/>
      <w:color w:val="0000FF"/>
      <w:u w:val="single"/>
    </w:rPr>
  </w:style>
  <w:style w:type="paragraph" w:styleId="BodyText3">
    <w:name w:val="Body Text 3"/>
    <w:basedOn w:val="Normal"/>
    <w:link w:val="BodyText3Char"/>
    <w:uiPriority w:val="99"/>
    <w:rsid w:val="0012134D"/>
    <w:pPr>
      <w:spacing w:after="120"/>
    </w:pPr>
    <w:rPr>
      <w:sz w:val="16"/>
      <w:szCs w:val="16"/>
    </w:rPr>
  </w:style>
  <w:style w:type="character" w:customStyle="1" w:styleId="BodyText3Char">
    <w:name w:val="Body Text 3 Char"/>
    <w:link w:val="BodyText3"/>
    <w:uiPriority w:val="99"/>
    <w:locked/>
    <w:rsid w:val="0012134D"/>
    <w:rPr>
      <w:rFonts w:ascii="Times New Roman" w:hAnsi="Times New Roman"/>
      <w:sz w:val="16"/>
    </w:rPr>
  </w:style>
  <w:style w:type="table" w:styleId="TableGrid">
    <w:name w:val="Table Grid"/>
    <w:basedOn w:val="TableNormal"/>
    <w:uiPriority w:val="99"/>
    <w:rsid w:val="001213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86F76"/>
    <w:pPr>
      <w:ind w:left="720"/>
      <w:contextualSpacing/>
    </w:pPr>
  </w:style>
  <w:style w:type="paragraph" w:styleId="BalloonText">
    <w:name w:val="Balloon Text"/>
    <w:basedOn w:val="Normal"/>
    <w:link w:val="BalloonTextChar"/>
    <w:uiPriority w:val="99"/>
    <w:semiHidden/>
    <w:rsid w:val="00B85178"/>
    <w:rPr>
      <w:rFonts w:ascii="Tahoma" w:hAnsi="Tahoma" w:cs="Tahoma"/>
      <w:sz w:val="16"/>
      <w:szCs w:val="16"/>
    </w:rPr>
  </w:style>
  <w:style w:type="character" w:customStyle="1" w:styleId="BalloonTextChar">
    <w:name w:val="Balloon Text Char"/>
    <w:link w:val="BalloonText"/>
    <w:uiPriority w:val="99"/>
    <w:semiHidden/>
    <w:locked/>
    <w:rsid w:val="00B85178"/>
    <w:rPr>
      <w:rFonts w:ascii="Tahoma" w:hAnsi="Tahoma"/>
      <w:sz w:val="16"/>
    </w:rPr>
  </w:style>
  <w:style w:type="paragraph" w:styleId="NormalWeb">
    <w:name w:val="Normal (Web)"/>
    <w:basedOn w:val="Normal"/>
    <w:uiPriority w:val="99"/>
    <w:semiHidden/>
    <w:unhideWhenUsed/>
    <w:locked/>
    <w:rsid w:val="00121D18"/>
    <w:pPr>
      <w:spacing w:before="100" w:beforeAutospacing="1" w:after="100" w:afterAutospacing="1"/>
    </w:pPr>
    <w:rPr>
      <w:lang w:eastAsia="et-EE"/>
    </w:rPr>
  </w:style>
  <w:style w:type="paragraph" w:customStyle="1" w:styleId="NormalJustified">
    <w:name w:val="Normal + Justified"/>
    <w:basedOn w:val="Normal"/>
    <w:uiPriority w:val="99"/>
    <w:rsid w:val="00E83C2D"/>
    <w:pPr>
      <w:numPr>
        <w:ilvl w:val="1"/>
        <w:numId w:val="31"/>
      </w:numPr>
      <w:tabs>
        <w:tab w:val="left" w:pos="0"/>
      </w:tabs>
      <w:suppressAutoHyphens/>
      <w:ind w:left="567" w:hanging="567"/>
      <w:jc w:val="both"/>
    </w:pPr>
    <w:rPr>
      <w:rFonts w:ascii="Garamond" w:hAnsi="Garamond" w:cs="Garamond"/>
      <w:lang w:eastAsia="ar-SA"/>
    </w:rPr>
  </w:style>
  <w:style w:type="paragraph" w:customStyle="1" w:styleId="Default">
    <w:name w:val="Default"/>
    <w:rsid w:val="00E95DAF"/>
    <w:pPr>
      <w:autoSpaceDE w:val="0"/>
      <w:autoSpaceDN w:val="0"/>
      <w:adjustRightInd w:val="0"/>
    </w:pPr>
    <w:rPr>
      <w:rFonts w:cs="Calibri"/>
      <w:color w:val="000000"/>
      <w:sz w:val="24"/>
      <w:szCs w:val="24"/>
    </w:rPr>
  </w:style>
  <w:style w:type="character" w:styleId="CommentReference">
    <w:name w:val="annotation reference"/>
    <w:uiPriority w:val="99"/>
    <w:semiHidden/>
    <w:unhideWhenUsed/>
    <w:locked/>
    <w:rsid w:val="00123924"/>
    <w:rPr>
      <w:sz w:val="16"/>
      <w:szCs w:val="16"/>
    </w:rPr>
  </w:style>
  <w:style w:type="paragraph" w:styleId="CommentSubject">
    <w:name w:val="annotation subject"/>
    <w:basedOn w:val="CommentText"/>
    <w:next w:val="CommentText"/>
    <w:link w:val="CommentSubjectChar"/>
    <w:uiPriority w:val="99"/>
    <w:semiHidden/>
    <w:unhideWhenUsed/>
    <w:locked/>
    <w:rsid w:val="00123924"/>
    <w:pPr>
      <w:suppressAutoHyphens w:val="0"/>
    </w:pPr>
    <w:rPr>
      <w:rFonts w:ascii="Times New Roman" w:hAnsi="Times New Roman"/>
      <w:b/>
      <w:bCs/>
      <w:sz w:val="20"/>
      <w:lang w:eastAsia="en-US"/>
    </w:rPr>
  </w:style>
  <w:style w:type="character" w:customStyle="1" w:styleId="CommentSubjectChar">
    <w:name w:val="Comment Subject Char"/>
    <w:link w:val="CommentSubject"/>
    <w:uiPriority w:val="99"/>
    <w:semiHidden/>
    <w:rsid w:val="00123924"/>
    <w:rPr>
      <w:rFonts w:ascii="Times New Roman" w:eastAsia="Times New Roman" w:hAnsi="Times New Roman"/>
      <w:b/>
      <w:bCs/>
      <w:sz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9929">
      <w:bodyDiv w:val="1"/>
      <w:marLeft w:val="0"/>
      <w:marRight w:val="0"/>
      <w:marTop w:val="0"/>
      <w:marBottom w:val="0"/>
      <w:divBdr>
        <w:top w:val="none" w:sz="0" w:space="0" w:color="auto"/>
        <w:left w:val="none" w:sz="0" w:space="0" w:color="auto"/>
        <w:bottom w:val="none" w:sz="0" w:space="0" w:color="auto"/>
        <w:right w:val="none" w:sz="0" w:space="0" w:color="auto"/>
      </w:divBdr>
    </w:div>
    <w:div w:id="697435420">
      <w:bodyDiv w:val="1"/>
      <w:marLeft w:val="0"/>
      <w:marRight w:val="0"/>
      <w:marTop w:val="0"/>
      <w:marBottom w:val="0"/>
      <w:divBdr>
        <w:top w:val="none" w:sz="0" w:space="0" w:color="auto"/>
        <w:left w:val="none" w:sz="0" w:space="0" w:color="auto"/>
        <w:bottom w:val="none" w:sz="0" w:space="0" w:color="auto"/>
        <w:right w:val="none" w:sz="0" w:space="0" w:color="auto"/>
      </w:divBdr>
    </w:div>
    <w:div w:id="1594705537">
      <w:bodyDiv w:val="1"/>
      <w:marLeft w:val="0"/>
      <w:marRight w:val="0"/>
      <w:marTop w:val="0"/>
      <w:marBottom w:val="0"/>
      <w:divBdr>
        <w:top w:val="none" w:sz="0" w:space="0" w:color="auto"/>
        <w:left w:val="none" w:sz="0" w:space="0" w:color="auto"/>
        <w:bottom w:val="none" w:sz="0" w:space="0" w:color="auto"/>
        <w:right w:val="none" w:sz="0" w:space="0" w:color="auto"/>
      </w:divBdr>
    </w:div>
    <w:div w:id="1595044145">
      <w:bodyDiv w:val="1"/>
      <w:marLeft w:val="0"/>
      <w:marRight w:val="0"/>
      <w:marTop w:val="0"/>
      <w:marBottom w:val="0"/>
      <w:divBdr>
        <w:top w:val="none" w:sz="0" w:space="0" w:color="auto"/>
        <w:left w:val="none" w:sz="0" w:space="0" w:color="auto"/>
        <w:bottom w:val="none" w:sz="0" w:space="0" w:color="auto"/>
        <w:right w:val="none" w:sz="0" w:space="0" w:color="auto"/>
      </w:divBdr>
    </w:div>
    <w:div w:id="1979724042">
      <w:marLeft w:val="0"/>
      <w:marRight w:val="0"/>
      <w:marTop w:val="0"/>
      <w:marBottom w:val="0"/>
      <w:divBdr>
        <w:top w:val="none" w:sz="0" w:space="0" w:color="auto"/>
        <w:left w:val="none" w:sz="0" w:space="0" w:color="auto"/>
        <w:bottom w:val="none" w:sz="0" w:space="0" w:color="auto"/>
        <w:right w:val="none" w:sz="0" w:space="0" w:color="auto"/>
      </w:divBdr>
    </w:div>
    <w:div w:id="1979724043">
      <w:marLeft w:val="0"/>
      <w:marRight w:val="0"/>
      <w:marTop w:val="0"/>
      <w:marBottom w:val="0"/>
      <w:divBdr>
        <w:top w:val="none" w:sz="0" w:space="0" w:color="auto"/>
        <w:left w:val="none" w:sz="0" w:space="0" w:color="auto"/>
        <w:bottom w:val="none" w:sz="0" w:space="0" w:color="auto"/>
        <w:right w:val="none" w:sz="0" w:space="0" w:color="auto"/>
      </w:divBdr>
    </w:div>
    <w:div w:id="1979724044">
      <w:marLeft w:val="0"/>
      <w:marRight w:val="0"/>
      <w:marTop w:val="0"/>
      <w:marBottom w:val="0"/>
      <w:divBdr>
        <w:top w:val="none" w:sz="0" w:space="0" w:color="auto"/>
        <w:left w:val="none" w:sz="0" w:space="0" w:color="auto"/>
        <w:bottom w:val="none" w:sz="0" w:space="0" w:color="auto"/>
        <w:right w:val="none" w:sz="0" w:space="0" w:color="auto"/>
      </w:divBdr>
    </w:div>
    <w:div w:id="1979724045">
      <w:marLeft w:val="0"/>
      <w:marRight w:val="0"/>
      <w:marTop w:val="0"/>
      <w:marBottom w:val="0"/>
      <w:divBdr>
        <w:top w:val="none" w:sz="0" w:space="0" w:color="auto"/>
        <w:left w:val="none" w:sz="0" w:space="0" w:color="auto"/>
        <w:bottom w:val="none" w:sz="0" w:space="0" w:color="auto"/>
        <w:right w:val="none" w:sz="0" w:space="0" w:color="auto"/>
      </w:divBdr>
    </w:div>
    <w:div w:id="1979724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s@estbm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ring.ee/bilansileping" TargetMode="External"/><Relationship Id="rId5" Type="http://schemas.openxmlformats.org/officeDocument/2006/relationships/hyperlink" Target="http://elering.ee/eic-kood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5672</CharactersWithSpaces>
  <SharedDoc>false</SharedDoc>
  <HLinks>
    <vt:vector size="18" baseType="variant">
      <vt:variant>
        <vt:i4>5505120</vt:i4>
      </vt:variant>
      <vt:variant>
        <vt:i4>6</vt:i4>
      </vt:variant>
      <vt:variant>
        <vt:i4>0</vt:i4>
      </vt:variant>
      <vt:variant>
        <vt:i4>5</vt:i4>
      </vt:variant>
      <vt:variant>
        <vt:lpwstr>mailto:bms@estbms.eu</vt:lpwstr>
      </vt:variant>
      <vt:variant>
        <vt:lpwstr/>
      </vt:variant>
      <vt:variant>
        <vt:i4>4063275</vt:i4>
      </vt:variant>
      <vt:variant>
        <vt:i4>3</vt:i4>
      </vt:variant>
      <vt:variant>
        <vt:i4>0</vt:i4>
      </vt:variant>
      <vt:variant>
        <vt:i4>5</vt:i4>
      </vt:variant>
      <vt:variant>
        <vt:lpwstr>http://elering.ee/andmevahetuse-vormid/</vt:lpwstr>
      </vt:variant>
      <vt:variant>
        <vt:lpwstr/>
      </vt:variant>
      <vt:variant>
        <vt:i4>4456537</vt:i4>
      </vt:variant>
      <vt:variant>
        <vt:i4>0</vt:i4>
      </vt:variant>
      <vt:variant>
        <vt:i4>0</vt:i4>
      </vt:variant>
      <vt:variant>
        <vt:i4>5</vt:i4>
      </vt:variant>
      <vt:variant>
        <vt:lpwstr>http://elering.ee/eic-koodid/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cp:lastModifiedBy>Kristofer Vare</cp:lastModifiedBy>
  <cp:revision>2</cp:revision>
  <cp:lastPrinted>2022-02-21T06:37:00Z</cp:lastPrinted>
  <dcterms:created xsi:type="dcterms:W3CDTF">2022-03-24T12:01:00Z</dcterms:created>
  <dcterms:modified xsi:type="dcterms:W3CDTF">2022-03-24T12:01:00Z</dcterms:modified>
</cp:coreProperties>
</file>