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696EBB" w:rsidRPr="00812957" w14:paraId="077FC83A" w14:textId="77777777" w:rsidTr="007A686E">
        <w:tc>
          <w:tcPr>
            <w:tcW w:w="9524" w:type="dxa"/>
            <w:tcMar>
              <w:top w:w="198" w:type="dxa"/>
            </w:tcMar>
          </w:tcPr>
          <w:p w14:paraId="3111809D" w14:textId="6B86B3CD" w:rsidR="00696EBB" w:rsidRPr="006A79AD" w:rsidRDefault="0001314B" w:rsidP="00865CA2">
            <w:pPr>
              <w:pStyle w:val="headlineheader"/>
              <w:spacing w:line="276" w:lineRule="auto"/>
              <w:jc w:val="center"/>
              <w:rPr>
                <w:rFonts w:asciiTheme="minorHAnsi" w:hAnsiTheme="minorHAnsi" w:cstheme="minorHAnsi"/>
                <w:lang w:val="en-US"/>
              </w:rPr>
            </w:pPr>
            <w:bookmarkStart w:id="0" w:name="_GoBack"/>
            <w:bookmarkEnd w:id="0"/>
            <w:r w:rsidRPr="006A79AD">
              <w:rPr>
                <w:rFonts w:asciiTheme="minorHAnsi" w:hAnsiTheme="minorHAnsi" w:cstheme="minorHAnsi"/>
                <w:sz w:val="32"/>
                <w:szCs w:val="32"/>
                <w:lang w:val="en-US"/>
              </w:rPr>
              <w:t xml:space="preserve">Estonia-Latvia </w:t>
            </w:r>
            <w:r w:rsidR="00273592" w:rsidRPr="006A79AD">
              <w:rPr>
                <w:rFonts w:asciiTheme="minorHAnsi" w:hAnsiTheme="minorHAnsi" w:cstheme="minorHAnsi"/>
                <w:sz w:val="32"/>
                <w:szCs w:val="32"/>
                <w:lang w:val="en-US"/>
              </w:rPr>
              <w:t xml:space="preserve">Bidding Zone Border </w:t>
            </w:r>
            <w:r w:rsidR="0046624A" w:rsidRPr="006A79AD">
              <w:rPr>
                <w:rFonts w:asciiTheme="minorHAnsi" w:hAnsiTheme="minorHAnsi" w:cstheme="minorHAnsi"/>
                <w:sz w:val="32"/>
                <w:szCs w:val="32"/>
                <w:lang w:val="en-US"/>
              </w:rPr>
              <w:t>Specific Annex</w:t>
            </w:r>
            <w:r w:rsidR="00C81F0C" w:rsidRPr="006A79AD">
              <w:rPr>
                <w:rFonts w:asciiTheme="minorHAnsi" w:hAnsiTheme="minorHAnsi" w:cstheme="minorHAnsi"/>
                <w:sz w:val="32"/>
                <w:szCs w:val="32"/>
                <w:lang w:val="en-US"/>
              </w:rPr>
              <w:t xml:space="preserve"> </w:t>
            </w:r>
            <w:r w:rsidR="00AF0502" w:rsidRPr="006A79AD">
              <w:rPr>
                <w:rFonts w:asciiTheme="minorHAnsi" w:hAnsiTheme="minorHAnsi" w:cstheme="minorHAnsi"/>
                <w:sz w:val="32"/>
                <w:szCs w:val="32"/>
                <w:lang w:val="en-US"/>
              </w:rPr>
              <w:t>for the</w:t>
            </w:r>
            <w:r w:rsidR="003A43F1" w:rsidRPr="006A79AD">
              <w:rPr>
                <w:rFonts w:asciiTheme="minorHAnsi" w:hAnsiTheme="minorHAnsi" w:cstheme="minorHAnsi"/>
                <w:b w:val="0"/>
                <w:color w:val="auto"/>
                <w:sz w:val="22"/>
                <w:szCs w:val="22"/>
                <w:lang w:val="en-US"/>
              </w:rPr>
              <w:t xml:space="preserve"> </w:t>
            </w:r>
            <w:r w:rsidR="003A43F1" w:rsidRPr="006A79AD">
              <w:rPr>
                <w:rFonts w:asciiTheme="minorHAnsi" w:hAnsiTheme="minorHAnsi" w:cstheme="minorHAnsi"/>
                <w:sz w:val="32"/>
                <w:szCs w:val="32"/>
                <w:lang w:val="en-US"/>
              </w:rPr>
              <w:t>Baltic Capacity Calculation Region</w:t>
            </w:r>
            <w:r w:rsidR="003A43F1" w:rsidRPr="006A79AD" w:rsidDel="003A43F1">
              <w:rPr>
                <w:rFonts w:asciiTheme="minorHAnsi" w:hAnsiTheme="minorHAnsi" w:cstheme="minorHAnsi"/>
                <w:sz w:val="32"/>
                <w:szCs w:val="32"/>
                <w:lang w:val="en-US"/>
              </w:rPr>
              <w:t xml:space="preserve"> </w:t>
            </w:r>
            <w:r w:rsidR="0046624A" w:rsidRPr="006A79AD">
              <w:rPr>
                <w:rFonts w:asciiTheme="minorHAnsi" w:hAnsiTheme="minorHAnsi" w:cstheme="minorHAnsi"/>
                <w:sz w:val="32"/>
                <w:szCs w:val="32"/>
                <w:lang w:val="en-US"/>
              </w:rPr>
              <w:t xml:space="preserve">to the </w:t>
            </w:r>
            <w:r w:rsidR="00865CA2" w:rsidRPr="006A79AD">
              <w:rPr>
                <w:rFonts w:asciiTheme="minorHAnsi" w:hAnsiTheme="minorHAnsi" w:cstheme="minorHAnsi"/>
                <w:sz w:val="32"/>
                <w:szCs w:val="32"/>
                <w:lang w:val="en-US"/>
              </w:rPr>
              <w:t xml:space="preserve">All TSOs' Proposal for </w:t>
            </w:r>
            <w:proofErr w:type="spellStart"/>
            <w:r w:rsidR="0046624A" w:rsidRPr="006A79AD">
              <w:rPr>
                <w:rFonts w:asciiTheme="minorHAnsi" w:hAnsiTheme="minorHAnsi" w:cstheme="minorHAnsi"/>
                <w:sz w:val="32"/>
                <w:szCs w:val="32"/>
                <w:lang w:val="en-US"/>
              </w:rPr>
              <w:t>Harmonised</w:t>
            </w:r>
            <w:proofErr w:type="spellEnd"/>
            <w:r w:rsidR="0046624A" w:rsidRPr="006A79AD">
              <w:rPr>
                <w:rFonts w:asciiTheme="minorHAnsi" w:hAnsiTheme="minorHAnsi" w:cstheme="minorHAnsi"/>
                <w:sz w:val="32"/>
                <w:szCs w:val="32"/>
                <w:lang w:val="en-US"/>
              </w:rPr>
              <w:t xml:space="preserve"> Allocation Rules for </w:t>
            </w:r>
            <w:r w:rsidR="00AF0502" w:rsidRPr="006A79AD">
              <w:rPr>
                <w:rFonts w:asciiTheme="minorHAnsi" w:hAnsiTheme="minorHAnsi" w:cstheme="minorHAnsi"/>
                <w:sz w:val="32"/>
                <w:szCs w:val="32"/>
                <w:lang w:val="en-US"/>
              </w:rPr>
              <w:t>L</w:t>
            </w:r>
            <w:r w:rsidR="0046624A" w:rsidRPr="006A79AD">
              <w:rPr>
                <w:rFonts w:asciiTheme="minorHAnsi" w:hAnsiTheme="minorHAnsi" w:cstheme="minorHAnsi"/>
                <w:sz w:val="32"/>
                <w:szCs w:val="32"/>
                <w:lang w:val="en-US"/>
              </w:rPr>
              <w:t xml:space="preserve">ong-term </w:t>
            </w:r>
            <w:r w:rsidR="00AF0502" w:rsidRPr="006A79AD">
              <w:rPr>
                <w:rFonts w:asciiTheme="minorHAnsi" w:hAnsiTheme="minorHAnsi" w:cstheme="minorHAnsi"/>
                <w:sz w:val="32"/>
                <w:szCs w:val="32"/>
                <w:lang w:val="en-US"/>
              </w:rPr>
              <w:t>T</w:t>
            </w:r>
            <w:r w:rsidR="0046624A" w:rsidRPr="006A79AD">
              <w:rPr>
                <w:rFonts w:asciiTheme="minorHAnsi" w:hAnsiTheme="minorHAnsi" w:cstheme="minorHAnsi"/>
                <w:sz w:val="32"/>
                <w:szCs w:val="32"/>
                <w:lang w:val="en-US"/>
              </w:rPr>
              <w:t xml:space="preserve">ransmission </w:t>
            </w:r>
            <w:r w:rsidR="00AF0502" w:rsidRPr="006A79AD">
              <w:rPr>
                <w:rFonts w:asciiTheme="minorHAnsi" w:hAnsiTheme="minorHAnsi" w:cstheme="minorHAnsi"/>
                <w:sz w:val="32"/>
                <w:szCs w:val="32"/>
                <w:lang w:val="en-US"/>
              </w:rPr>
              <w:t>R</w:t>
            </w:r>
            <w:r w:rsidR="0046624A" w:rsidRPr="006A79AD">
              <w:rPr>
                <w:rFonts w:asciiTheme="minorHAnsi" w:hAnsiTheme="minorHAnsi" w:cstheme="minorHAnsi"/>
                <w:sz w:val="32"/>
                <w:szCs w:val="32"/>
                <w:lang w:val="en-US"/>
              </w:rPr>
              <w:t xml:space="preserve">ights in </w:t>
            </w:r>
            <w:r w:rsidR="00AF0502" w:rsidRPr="006A79AD">
              <w:rPr>
                <w:rFonts w:asciiTheme="minorHAnsi" w:hAnsiTheme="minorHAnsi" w:cstheme="minorHAnsi"/>
                <w:sz w:val="32"/>
                <w:szCs w:val="32"/>
                <w:lang w:val="en-US"/>
              </w:rPr>
              <w:t>A</w:t>
            </w:r>
            <w:r w:rsidR="0046624A" w:rsidRPr="006A79AD">
              <w:rPr>
                <w:rFonts w:asciiTheme="minorHAnsi" w:hAnsiTheme="minorHAnsi" w:cstheme="minorHAnsi"/>
                <w:sz w:val="32"/>
                <w:szCs w:val="32"/>
                <w:lang w:val="en-US"/>
              </w:rPr>
              <w:t xml:space="preserve">ccordance with Article </w:t>
            </w:r>
            <w:r w:rsidR="00C81F0C" w:rsidRPr="006A79AD">
              <w:rPr>
                <w:rFonts w:asciiTheme="minorHAnsi" w:hAnsiTheme="minorHAnsi" w:cstheme="minorHAnsi"/>
                <w:sz w:val="32"/>
                <w:szCs w:val="32"/>
                <w:lang w:val="en-US"/>
              </w:rPr>
              <w:t>52</w:t>
            </w:r>
            <w:r w:rsidRPr="006A79AD">
              <w:rPr>
                <w:rFonts w:asciiTheme="minorHAnsi" w:hAnsiTheme="minorHAnsi" w:cstheme="minorHAnsi"/>
                <w:sz w:val="32"/>
                <w:szCs w:val="32"/>
                <w:lang w:val="en-US"/>
              </w:rPr>
              <w:t>(3)</w:t>
            </w:r>
            <w:r w:rsidR="00C81F0C" w:rsidRPr="006A79AD">
              <w:rPr>
                <w:rFonts w:asciiTheme="minorHAnsi" w:hAnsiTheme="minorHAnsi" w:cstheme="minorHAnsi"/>
                <w:sz w:val="32"/>
                <w:szCs w:val="32"/>
                <w:lang w:val="en-US"/>
              </w:rPr>
              <w:t xml:space="preserve"> of </w:t>
            </w:r>
            <w:proofErr w:type="spellStart"/>
            <w:r w:rsidR="00C81F0C" w:rsidRPr="006A79AD">
              <w:rPr>
                <w:rFonts w:asciiTheme="minorHAnsi" w:hAnsiTheme="minorHAnsi" w:cstheme="minorHAnsi"/>
                <w:sz w:val="32"/>
                <w:szCs w:val="32"/>
                <w:lang w:val="en-US"/>
              </w:rPr>
              <w:t>Commision</w:t>
            </w:r>
            <w:proofErr w:type="spellEnd"/>
            <w:r w:rsidR="00C81F0C" w:rsidRPr="006A79AD">
              <w:rPr>
                <w:rFonts w:asciiTheme="minorHAnsi" w:hAnsiTheme="minorHAnsi" w:cstheme="minorHAnsi"/>
                <w:sz w:val="32"/>
                <w:szCs w:val="32"/>
                <w:lang w:val="en-US"/>
              </w:rPr>
              <w:t xml:space="preserve"> Regulation (EU) 2016/1719 of 26 September 2016 </w:t>
            </w:r>
            <w:r w:rsidR="00AF0502" w:rsidRPr="006A79AD">
              <w:rPr>
                <w:rFonts w:asciiTheme="minorHAnsi" w:hAnsiTheme="minorHAnsi" w:cstheme="minorHAnsi"/>
                <w:sz w:val="32"/>
                <w:szCs w:val="32"/>
                <w:lang w:val="en-US"/>
              </w:rPr>
              <w:t>E</w:t>
            </w:r>
            <w:r w:rsidR="00C81F0C" w:rsidRPr="006A79AD">
              <w:rPr>
                <w:rFonts w:asciiTheme="minorHAnsi" w:hAnsiTheme="minorHAnsi" w:cstheme="minorHAnsi"/>
                <w:sz w:val="32"/>
                <w:szCs w:val="32"/>
                <w:lang w:val="en-US"/>
              </w:rPr>
              <w:t xml:space="preserve">stablishing a Guideline on Forward Capacity Allocation </w:t>
            </w:r>
            <w:r w:rsidR="0046624A" w:rsidRPr="006A79AD">
              <w:rPr>
                <w:rFonts w:asciiTheme="minorHAnsi" w:hAnsiTheme="minorHAnsi" w:cstheme="minorHAnsi"/>
                <w:sz w:val="32"/>
                <w:szCs w:val="32"/>
                <w:lang w:val="en-US"/>
              </w:rPr>
              <w:t xml:space="preserve"> </w:t>
            </w:r>
            <w:r w:rsidR="0066321D" w:rsidRPr="006A79AD">
              <w:rPr>
                <w:rFonts w:asciiTheme="minorHAnsi" w:hAnsiTheme="minorHAnsi" w:cstheme="minorHAnsi"/>
                <w:sz w:val="32"/>
                <w:szCs w:val="32"/>
                <w:lang w:val="en-US"/>
              </w:rPr>
              <w:t xml:space="preserve">  </w:t>
            </w:r>
          </w:p>
        </w:tc>
      </w:tr>
      <w:tr w:rsidR="00696EBB" w:rsidRPr="00812957" w14:paraId="10E366B9" w14:textId="77777777" w:rsidTr="007A686E">
        <w:tc>
          <w:tcPr>
            <w:tcW w:w="9524" w:type="dxa"/>
          </w:tcPr>
          <w:p w14:paraId="4C310D98" w14:textId="77777777" w:rsidR="00696EBB" w:rsidRPr="00704B52" w:rsidRDefault="00696EBB" w:rsidP="001A3B31">
            <w:pPr>
              <w:pStyle w:val="textheader"/>
              <w:jc w:val="both"/>
            </w:pPr>
          </w:p>
        </w:tc>
      </w:tr>
      <w:tr w:rsidR="0066321D" w:rsidRPr="006A79AD" w14:paraId="3A803D2D" w14:textId="77777777" w:rsidTr="0066321D">
        <w:trPr>
          <w:trHeight w:val="609"/>
        </w:trPr>
        <w:tc>
          <w:tcPr>
            <w:tcW w:w="9524" w:type="dxa"/>
          </w:tcPr>
          <w:p w14:paraId="7EE88D43" w14:textId="4A1D335A" w:rsidR="0066321D" w:rsidRPr="006A79AD" w:rsidRDefault="00245C93" w:rsidP="0001314B">
            <w:pPr>
              <w:pStyle w:val="textheader"/>
              <w:jc w:val="center"/>
            </w:pPr>
            <w:sdt>
              <w:sdtPr>
                <w:rPr>
                  <w:rFonts w:asciiTheme="minorHAnsi" w:hAnsiTheme="minorHAnsi" w:cstheme="minorHAnsi"/>
                  <w:color w:val="auto"/>
                  <w:sz w:val="29"/>
                  <w:szCs w:val="29"/>
                  <w:highlight w:val="yellow"/>
                </w:rPr>
                <w:id w:val="8523443"/>
                <w:placeholder>
                  <w:docPart w:val="1492741536894253B029C2899C0106A0"/>
                </w:placeholder>
                <w:date>
                  <w:dateFormat w:val="d MMMM yyyy"/>
                  <w:lid w:val="en-US"/>
                  <w:storeMappedDataAs w:val="dateTime"/>
                  <w:calendar w:val="gregorian"/>
                </w:date>
              </w:sdtPr>
              <w:sdtEndPr/>
              <w:sdtContent>
                <w:r w:rsidR="0066321D" w:rsidRPr="00812957">
                  <w:rPr>
                    <w:rFonts w:asciiTheme="minorHAnsi" w:hAnsiTheme="minorHAnsi" w:cstheme="minorHAnsi"/>
                    <w:color w:val="auto"/>
                    <w:sz w:val="29"/>
                    <w:szCs w:val="29"/>
                    <w:highlight w:val="yellow"/>
                  </w:rPr>
                  <w:t xml:space="preserve">[date of </w:t>
                </w:r>
                <w:r w:rsidR="0046624A" w:rsidRPr="00812957">
                  <w:rPr>
                    <w:rFonts w:asciiTheme="minorHAnsi" w:hAnsiTheme="minorHAnsi" w:cstheme="minorHAnsi"/>
                    <w:color w:val="auto"/>
                    <w:sz w:val="29"/>
                    <w:szCs w:val="29"/>
                    <w:highlight w:val="yellow"/>
                  </w:rPr>
                  <w:t>approval</w:t>
                </w:r>
                <w:r w:rsidR="0066321D" w:rsidRPr="00812957">
                  <w:rPr>
                    <w:rFonts w:asciiTheme="minorHAnsi" w:hAnsiTheme="minorHAnsi" w:cstheme="minorHAnsi"/>
                    <w:color w:val="auto"/>
                    <w:sz w:val="29"/>
                    <w:szCs w:val="29"/>
                    <w:highlight w:val="yellow"/>
                  </w:rPr>
                  <w:t>]</w:t>
                </w:r>
              </w:sdtContent>
            </w:sdt>
          </w:p>
        </w:tc>
      </w:tr>
      <w:tr w:rsidR="0066321D" w:rsidRPr="006A79AD" w14:paraId="74C0CB0B" w14:textId="77777777" w:rsidTr="007A686E">
        <w:tc>
          <w:tcPr>
            <w:tcW w:w="9524" w:type="dxa"/>
            <w:tcMar>
              <w:bottom w:w="142" w:type="dxa"/>
            </w:tcMar>
          </w:tcPr>
          <w:p w14:paraId="64B7A84F" w14:textId="77777777" w:rsidR="0066321D" w:rsidRPr="006A79AD" w:rsidRDefault="0066321D" w:rsidP="0066321D">
            <w:pPr>
              <w:pStyle w:val="time"/>
              <w:framePr w:hSpace="0" w:vSpace="0" w:wrap="auto" w:vAnchor="margin" w:hAnchor="text" w:xAlign="left" w:yAlign="inline"/>
              <w:jc w:val="both"/>
            </w:pPr>
          </w:p>
        </w:tc>
      </w:tr>
    </w:tbl>
    <w:p w14:paraId="233A57DD" w14:textId="77777777" w:rsidR="006157B9" w:rsidRPr="006A79AD" w:rsidRDefault="006157B9" w:rsidP="00140291">
      <w:pPr>
        <w:pStyle w:val="textregular"/>
        <w:jc w:val="both"/>
        <w:rPr>
          <w:rFonts w:asciiTheme="majorHAnsi" w:hAnsiTheme="majorHAnsi" w:cstheme="majorHAnsi"/>
          <w:lang w:val="en-US"/>
        </w:rPr>
      </w:pPr>
    </w:p>
    <w:p w14:paraId="10497E4C" w14:textId="77777777" w:rsidR="00474E1F" w:rsidRPr="006A79AD" w:rsidRDefault="00474E1F" w:rsidP="00140291">
      <w:pPr>
        <w:pStyle w:val="textregular"/>
        <w:jc w:val="both"/>
        <w:rPr>
          <w:rFonts w:asciiTheme="majorHAnsi" w:hAnsiTheme="majorHAnsi" w:cstheme="majorHAnsi"/>
          <w:lang w:val="en-US"/>
        </w:rPr>
      </w:pPr>
    </w:p>
    <w:p w14:paraId="6E7EE83F" w14:textId="77777777" w:rsidR="0045447A" w:rsidRPr="006A79AD" w:rsidRDefault="0045447A" w:rsidP="00140291">
      <w:pPr>
        <w:pStyle w:val="textregular"/>
        <w:jc w:val="both"/>
        <w:rPr>
          <w:rFonts w:asciiTheme="majorHAnsi" w:hAnsiTheme="majorHAnsi" w:cstheme="majorHAnsi"/>
          <w:lang w:val="en-US"/>
        </w:rPr>
      </w:pPr>
    </w:p>
    <w:p w14:paraId="15A0B366" w14:textId="77777777" w:rsidR="0045447A" w:rsidRPr="006A79AD" w:rsidRDefault="0045447A" w:rsidP="00140291">
      <w:pPr>
        <w:pStyle w:val="textregular"/>
        <w:jc w:val="both"/>
        <w:rPr>
          <w:rFonts w:asciiTheme="majorHAnsi" w:hAnsiTheme="majorHAnsi" w:cstheme="majorHAnsi"/>
          <w:lang w:val="en-US"/>
        </w:rPr>
      </w:pPr>
    </w:p>
    <w:p w14:paraId="510F02EE" w14:textId="77777777" w:rsidR="007C7052" w:rsidRPr="006A79AD" w:rsidRDefault="007C7052" w:rsidP="00140291">
      <w:pPr>
        <w:pStyle w:val="textregular"/>
        <w:jc w:val="both"/>
        <w:rPr>
          <w:rFonts w:asciiTheme="majorHAnsi" w:hAnsiTheme="majorHAnsi" w:cstheme="majorHAnsi"/>
          <w:lang w:val="en-US"/>
        </w:rPr>
      </w:pPr>
    </w:p>
    <w:p w14:paraId="47F04B1D" w14:textId="77777777" w:rsidR="007C7052" w:rsidRPr="006A79AD" w:rsidRDefault="007C7052" w:rsidP="00140291">
      <w:pPr>
        <w:pStyle w:val="textregular"/>
        <w:jc w:val="both"/>
        <w:rPr>
          <w:rFonts w:asciiTheme="majorHAnsi" w:hAnsiTheme="majorHAnsi" w:cstheme="majorHAnsi"/>
          <w:lang w:val="en-US"/>
        </w:rPr>
      </w:pPr>
    </w:p>
    <w:p w14:paraId="687E6B87" w14:textId="77777777" w:rsidR="007C7052" w:rsidRPr="006A79AD" w:rsidRDefault="007C7052" w:rsidP="00140291">
      <w:pPr>
        <w:pStyle w:val="textregular"/>
        <w:jc w:val="both"/>
        <w:rPr>
          <w:rFonts w:asciiTheme="majorHAnsi" w:hAnsiTheme="majorHAnsi" w:cstheme="majorHAnsi"/>
          <w:lang w:val="en-US"/>
        </w:rPr>
      </w:pPr>
    </w:p>
    <w:p w14:paraId="54F00BA2" w14:textId="77777777" w:rsidR="007C7052" w:rsidRPr="006A79AD" w:rsidRDefault="007C7052" w:rsidP="00140291">
      <w:pPr>
        <w:pStyle w:val="textregular"/>
        <w:jc w:val="both"/>
        <w:rPr>
          <w:rFonts w:asciiTheme="majorHAnsi" w:hAnsiTheme="majorHAnsi" w:cstheme="majorHAnsi"/>
          <w:lang w:val="en-US"/>
        </w:rPr>
      </w:pPr>
    </w:p>
    <w:p w14:paraId="17FB2DC8" w14:textId="77777777" w:rsidR="0045447A" w:rsidRPr="006A79AD" w:rsidRDefault="0045447A" w:rsidP="00140291">
      <w:pPr>
        <w:pStyle w:val="textregular"/>
        <w:jc w:val="both"/>
        <w:rPr>
          <w:rFonts w:asciiTheme="majorHAnsi" w:hAnsiTheme="majorHAnsi" w:cstheme="majorHAnsi"/>
          <w:lang w:val="en-US"/>
        </w:rPr>
      </w:pPr>
    </w:p>
    <w:p w14:paraId="1A1802A9" w14:textId="77777777" w:rsidR="0045447A" w:rsidRPr="006A79AD" w:rsidRDefault="0045447A" w:rsidP="00140291">
      <w:pPr>
        <w:pStyle w:val="textregular"/>
        <w:jc w:val="both"/>
        <w:rPr>
          <w:rFonts w:asciiTheme="majorHAnsi" w:hAnsiTheme="majorHAnsi" w:cstheme="majorHAnsi"/>
          <w:lang w:val="en-US"/>
        </w:rPr>
      </w:pPr>
    </w:p>
    <w:p w14:paraId="262ADF4B" w14:textId="77777777" w:rsidR="0001314B" w:rsidRPr="00812957" w:rsidRDefault="0045447A" w:rsidP="00FD5B46">
      <w:pPr>
        <w:spacing w:after="120"/>
        <w:ind w:left="360"/>
        <w:jc w:val="center"/>
        <w:rPr>
          <w:rFonts w:cstheme="minorHAnsi"/>
          <w:sz w:val="20"/>
          <w:szCs w:val="20"/>
          <w:lang w:val="en-US"/>
        </w:rPr>
      </w:pPr>
      <w:r w:rsidRPr="006A79AD">
        <w:rPr>
          <w:rFonts w:asciiTheme="majorHAnsi" w:hAnsiTheme="majorHAnsi" w:cstheme="majorHAnsi"/>
          <w:lang w:val="en-US"/>
        </w:rPr>
        <w:br w:type="page"/>
      </w:r>
      <w:r w:rsidR="00FD5B46" w:rsidRPr="00812957">
        <w:rPr>
          <w:rFonts w:cstheme="minorHAnsi"/>
          <w:sz w:val="20"/>
          <w:szCs w:val="20"/>
          <w:lang w:val="en-US"/>
        </w:rPr>
        <w:lastRenderedPageBreak/>
        <w:t>The Transmission System Operators of the Baltic Capacity Calculation Region, taking into account the following,</w:t>
      </w:r>
    </w:p>
    <w:p w14:paraId="02D78E94" w14:textId="77777777" w:rsidR="007C7052" w:rsidRPr="00507F64" w:rsidRDefault="007C7052" w:rsidP="00FD5B46">
      <w:pPr>
        <w:spacing w:after="120"/>
        <w:ind w:left="360"/>
        <w:jc w:val="center"/>
        <w:rPr>
          <w:rFonts w:cstheme="minorHAnsi"/>
          <w:b/>
          <w:color w:val="23236E" w:themeColor="text2"/>
          <w:sz w:val="20"/>
          <w:szCs w:val="20"/>
          <w:lang w:val="en-US"/>
        </w:rPr>
      </w:pPr>
      <w:r w:rsidRPr="00507F64">
        <w:rPr>
          <w:rFonts w:cstheme="minorHAnsi"/>
          <w:b/>
          <w:color w:val="23236E" w:themeColor="text2"/>
          <w:sz w:val="20"/>
          <w:szCs w:val="20"/>
          <w:lang w:val="en-US"/>
        </w:rPr>
        <w:t>Whereas</w:t>
      </w:r>
    </w:p>
    <w:p w14:paraId="22856A48" w14:textId="11352066" w:rsidR="00355D73" w:rsidRPr="006A79AD" w:rsidRDefault="00720BD0" w:rsidP="0001314B">
      <w:pPr>
        <w:numPr>
          <w:ilvl w:val="0"/>
          <w:numId w:val="5"/>
        </w:numPr>
        <w:spacing w:after="240" w:line="259" w:lineRule="auto"/>
        <w:contextualSpacing/>
        <w:jc w:val="both"/>
        <w:rPr>
          <w:rFonts w:eastAsia="Times New Roman" w:cstheme="minorHAnsi"/>
          <w:sz w:val="20"/>
          <w:szCs w:val="20"/>
          <w:lang w:val="en-US"/>
        </w:rPr>
      </w:pPr>
      <w:r w:rsidRPr="006A79AD">
        <w:rPr>
          <w:rFonts w:eastAsia="Times New Roman" w:cstheme="minorHAnsi"/>
          <w:sz w:val="20"/>
          <w:szCs w:val="20"/>
          <w:lang w:val="en-US"/>
        </w:rPr>
        <w:t xml:space="preserve">This document is </w:t>
      </w:r>
      <w:r w:rsidR="00E817EC" w:rsidRPr="006A79AD">
        <w:rPr>
          <w:rFonts w:eastAsia="Times New Roman" w:cstheme="minorHAnsi"/>
          <w:sz w:val="20"/>
          <w:szCs w:val="20"/>
          <w:lang w:val="en-US"/>
        </w:rPr>
        <w:t xml:space="preserve">a </w:t>
      </w:r>
      <w:r w:rsidRPr="006A79AD">
        <w:rPr>
          <w:rFonts w:eastAsia="Times New Roman" w:cstheme="minorHAnsi"/>
          <w:sz w:val="20"/>
          <w:szCs w:val="20"/>
          <w:lang w:val="en-US"/>
        </w:rPr>
        <w:t xml:space="preserve">common proposal developed by </w:t>
      </w:r>
      <w:r w:rsidR="00F60169" w:rsidRPr="006A79AD">
        <w:rPr>
          <w:rFonts w:eastAsia="Times New Roman" w:cstheme="minorHAnsi"/>
          <w:sz w:val="20"/>
          <w:szCs w:val="20"/>
          <w:lang w:val="en-US"/>
        </w:rPr>
        <w:t>the</w:t>
      </w:r>
      <w:r w:rsidRPr="006A79AD">
        <w:rPr>
          <w:rFonts w:eastAsia="Times New Roman" w:cstheme="minorHAnsi"/>
          <w:sz w:val="20"/>
          <w:szCs w:val="20"/>
          <w:lang w:val="en-US"/>
        </w:rPr>
        <w:t xml:space="preserve"> </w:t>
      </w:r>
      <w:r w:rsidR="00E817EC" w:rsidRPr="006A79AD">
        <w:rPr>
          <w:rFonts w:eastAsia="Times New Roman" w:cstheme="minorHAnsi"/>
          <w:sz w:val="20"/>
          <w:szCs w:val="20"/>
          <w:lang w:val="en-US"/>
        </w:rPr>
        <w:t xml:space="preserve">relevant </w:t>
      </w:r>
      <w:r w:rsidRPr="006A79AD">
        <w:rPr>
          <w:rFonts w:eastAsia="Times New Roman" w:cstheme="minorHAnsi"/>
          <w:sz w:val="20"/>
          <w:szCs w:val="20"/>
          <w:lang w:val="en-US"/>
        </w:rPr>
        <w:t>Transmission System Operators</w:t>
      </w:r>
      <w:r w:rsidR="00F60169" w:rsidRPr="006A79AD">
        <w:rPr>
          <w:rFonts w:eastAsia="Times New Roman" w:cstheme="minorHAnsi"/>
          <w:sz w:val="20"/>
          <w:szCs w:val="20"/>
          <w:lang w:val="en-US"/>
        </w:rPr>
        <w:t xml:space="preserve"> </w:t>
      </w:r>
      <w:r w:rsidR="00E817EC" w:rsidRPr="006A79AD">
        <w:rPr>
          <w:rFonts w:eastAsia="Times New Roman" w:cstheme="minorHAnsi"/>
          <w:sz w:val="20"/>
          <w:szCs w:val="20"/>
          <w:lang w:val="en-US"/>
        </w:rPr>
        <w:t>(hereafter referred to as “</w:t>
      </w:r>
      <w:r w:rsidR="00E817EC" w:rsidRPr="006A79AD">
        <w:rPr>
          <w:rFonts w:eastAsia="Times New Roman" w:cstheme="minorHAnsi"/>
          <w:b/>
          <w:sz w:val="20"/>
          <w:szCs w:val="20"/>
          <w:lang w:val="en-US"/>
        </w:rPr>
        <w:t>TSOs</w:t>
      </w:r>
      <w:r w:rsidR="00E817EC" w:rsidRPr="006A79AD">
        <w:rPr>
          <w:rFonts w:eastAsia="Times New Roman" w:cstheme="minorHAnsi"/>
          <w:sz w:val="20"/>
          <w:szCs w:val="20"/>
          <w:lang w:val="en-US"/>
        </w:rPr>
        <w:t xml:space="preserve">”) </w:t>
      </w:r>
      <w:r w:rsidR="00F60169" w:rsidRPr="006A79AD">
        <w:rPr>
          <w:rFonts w:eastAsia="Times New Roman" w:cstheme="minorHAnsi"/>
          <w:sz w:val="20"/>
          <w:szCs w:val="20"/>
          <w:lang w:val="en-US"/>
        </w:rPr>
        <w:t xml:space="preserve">of the </w:t>
      </w:r>
      <w:r w:rsidR="003A43F1" w:rsidRPr="006A79AD">
        <w:rPr>
          <w:rFonts w:eastAsia="Times New Roman" w:cstheme="minorHAnsi"/>
          <w:sz w:val="20"/>
          <w:szCs w:val="20"/>
          <w:lang w:val="en-US"/>
        </w:rPr>
        <w:t>Baltic Capacity Calculation Region</w:t>
      </w:r>
      <w:r w:rsidRPr="006A79AD">
        <w:rPr>
          <w:rFonts w:eastAsia="Times New Roman" w:cstheme="minorHAnsi"/>
          <w:sz w:val="20"/>
          <w:szCs w:val="20"/>
          <w:lang w:val="en-US"/>
        </w:rPr>
        <w:t xml:space="preserve"> (hereafter referred to as “</w:t>
      </w:r>
      <w:r w:rsidR="008624EA" w:rsidRPr="006A79AD">
        <w:rPr>
          <w:rFonts w:eastAsia="Times New Roman" w:cstheme="minorHAnsi"/>
          <w:b/>
          <w:sz w:val="20"/>
          <w:szCs w:val="20"/>
          <w:lang w:val="en-US"/>
        </w:rPr>
        <w:t>Baltic CCR</w:t>
      </w:r>
      <w:r w:rsidRPr="006A79AD">
        <w:rPr>
          <w:rFonts w:eastAsia="Times New Roman" w:cstheme="minorHAnsi"/>
          <w:sz w:val="20"/>
          <w:szCs w:val="20"/>
          <w:lang w:val="en-US"/>
        </w:rPr>
        <w:t xml:space="preserve">”) </w:t>
      </w:r>
      <w:r w:rsidR="008624EA" w:rsidRPr="006A79AD">
        <w:rPr>
          <w:rFonts w:eastAsia="Times New Roman" w:cstheme="minorHAnsi"/>
          <w:sz w:val="20"/>
          <w:szCs w:val="20"/>
          <w:lang w:val="en-US"/>
        </w:rPr>
        <w:t xml:space="preserve">regarding regional or </w:t>
      </w:r>
      <w:r w:rsidR="00FA1158">
        <w:rPr>
          <w:rFonts w:eastAsia="Times New Roman" w:cstheme="minorHAnsi"/>
          <w:sz w:val="20"/>
          <w:szCs w:val="20"/>
          <w:lang w:val="en-US"/>
        </w:rPr>
        <w:t>B</w:t>
      </w:r>
      <w:r w:rsidR="008624EA" w:rsidRPr="006A79AD">
        <w:rPr>
          <w:rFonts w:eastAsia="Times New Roman" w:cstheme="minorHAnsi"/>
          <w:sz w:val="20"/>
          <w:szCs w:val="20"/>
          <w:lang w:val="en-US"/>
        </w:rPr>
        <w:t xml:space="preserve">idding </w:t>
      </w:r>
      <w:r w:rsidR="00FA1158">
        <w:rPr>
          <w:rFonts w:eastAsia="Times New Roman" w:cstheme="minorHAnsi"/>
          <w:sz w:val="20"/>
          <w:szCs w:val="20"/>
          <w:lang w:val="en-US"/>
        </w:rPr>
        <w:t>Z</w:t>
      </w:r>
      <w:r w:rsidR="008624EA" w:rsidRPr="006A79AD">
        <w:rPr>
          <w:rFonts w:eastAsia="Times New Roman" w:cstheme="minorHAnsi"/>
          <w:sz w:val="20"/>
          <w:szCs w:val="20"/>
          <w:lang w:val="en-US"/>
        </w:rPr>
        <w:t xml:space="preserve">one border specific requirements for </w:t>
      </w:r>
      <w:r w:rsidR="00AF0502" w:rsidRPr="006A79AD">
        <w:rPr>
          <w:rFonts w:eastAsia="Times New Roman" w:cstheme="minorHAnsi"/>
          <w:sz w:val="20"/>
          <w:szCs w:val="20"/>
          <w:lang w:val="en-US"/>
        </w:rPr>
        <w:t xml:space="preserve">the </w:t>
      </w:r>
      <w:r w:rsidR="008624EA" w:rsidRPr="006A79AD">
        <w:rPr>
          <w:rFonts w:eastAsia="Times New Roman" w:cstheme="minorHAnsi"/>
          <w:sz w:val="20"/>
          <w:szCs w:val="20"/>
          <w:lang w:val="en-US"/>
        </w:rPr>
        <w:t xml:space="preserve">Baltic CCR. </w:t>
      </w:r>
    </w:p>
    <w:p w14:paraId="734B0D91" w14:textId="77777777" w:rsidR="00FD5B46" w:rsidRPr="006A79AD" w:rsidRDefault="00FD5B46" w:rsidP="00FD5B46">
      <w:pPr>
        <w:spacing w:after="240" w:line="259" w:lineRule="auto"/>
        <w:ind w:left="720"/>
        <w:contextualSpacing/>
        <w:jc w:val="both"/>
        <w:rPr>
          <w:rFonts w:eastAsia="Times New Roman" w:cstheme="minorHAnsi"/>
          <w:sz w:val="20"/>
          <w:szCs w:val="20"/>
          <w:lang w:val="en-US"/>
        </w:rPr>
      </w:pPr>
    </w:p>
    <w:p w14:paraId="5BB74029" w14:textId="6AAEECB7" w:rsidR="000B6961" w:rsidRPr="006A79AD" w:rsidRDefault="000B6961" w:rsidP="00655FF4">
      <w:pPr>
        <w:numPr>
          <w:ilvl w:val="0"/>
          <w:numId w:val="5"/>
        </w:numPr>
        <w:spacing w:before="240" w:after="240" w:line="259" w:lineRule="auto"/>
        <w:contextualSpacing/>
        <w:jc w:val="both"/>
        <w:rPr>
          <w:rFonts w:eastAsia="Times New Roman" w:cstheme="minorHAnsi"/>
          <w:sz w:val="20"/>
          <w:szCs w:val="20"/>
          <w:lang w:val="en-US"/>
        </w:rPr>
      </w:pPr>
      <w:r w:rsidRPr="006A79AD">
        <w:rPr>
          <w:rFonts w:eastAsia="Times New Roman" w:cstheme="minorHAnsi"/>
          <w:sz w:val="20"/>
          <w:szCs w:val="20"/>
          <w:lang w:val="en-US"/>
        </w:rPr>
        <w:t xml:space="preserve">This common proposal constitutes an Annex to the All TSOs' proposal for </w:t>
      </w:r>
      <w:proofErr w:type="spellStart"/>
      <w:r w:rsidRPr="006A79AD">
        <w:rPr>
          <w:rFonts w:eastAsia="Times New Roman" w:cstheme="minorHAnsi"/>
          <w:sz w:val="20"/>
          <w:szCs w:val="20"/>
          <w:lang w:val="en-US"/>
        </w:rPr>
        <w:t>harmonised</w:t>
      </w:r>
      <w:proofErr w:type="spellEnd"/>
      <w:r w:rsidRPr="006A79AD">
        <w:rPr>
          <w:rFonts w:eastAsia="Times New Roman" w:cstheme="minorHAnsi"/>
          <w:sz w:val="20"/>
          <w:szCs w:val="20"/>
          <w:lang w:val="en-US"/>
        </w:rPr>
        <w:t xml:space="preserve"> allocation rules for long-term transmission rights in accordance with Article 51 of Commission Regulation (EU) 2016/1719 establishing a guideline on forward capacity allocation (hereafter referred to as the “</w:t>
      </w:r>
      <w:r w:rsidRPr="006A79AD">
        <w:rPr>
          <w:rFonts w:eastAsia="Times New Roman" w:cstheme="minorHAnsi"/>
          <w:b/>
          <w:sz w:val="20"/>
          <w:szCs w:val="20"/>
          <w:lang w:val="en-US"/>
        </w:rPr>
        <w:t>FCA Regulation</w:t>
      </w:r>
      <w:r w:rsidRPr="006A79AD">
        <w:rPr>
          <w:rFonts w:eastAsia="Times New Roman" w:cstheme="minorHAnsi"/>
          <w:sz w:val="20"/>
          <w:szCs w:val="20"/>
          <w:lang w:val="en-US"/>
        </w:rPr>
        <w:t>”) on EU level (hereafter referred to as “</w:t>
      </w:r>
      <w:r w:rsidRPr="006A79AD">
        <w:rPr>
          <w:rFonts w:eastAsia="Times New Roman" w:cstheme="minorHAnsi"/>
          <w:b/>
          <w:sz w:val="20"/>
          <w:szCs w:val="20"/>
          <w:lang w:val="en-US"/>
        </w:rPr>
        <w:t>HAR</w:t>
      </w:r>
      <w:r w:rsidRPr="006A79AD">
        <w:rPr>
          <w:rFonts w:eastAsia="Times New Roman" w:cstheme="minorHAnsi"/>
          <w:sz w:val="20"/>
          <w:szCs w:val="20"/>
          <w:lang w:val="en-US"/>
        </w:rPr>
        <w:t>”).</w:t>
      </w:r>
    </w:p>
    <w:p w14:paraId="210E43D1" w14:textId="77777777" w:rsidR="000B6961" w:rsidRPr="00655FF4" w:rsidRDefault="000B6961" w:rsidP="00655FF4">
      <w:pPr>
        <w:spacing w:before="240" w:after="240" w:line="259" w:lineRule="auto"/>
        <w:contextualSpacing/>
        <w:jc w:val="both"/>
        <w:rPr>
          <w:rFonts w:eastAsia="Times New Roman" w:cstheme="minorHAnsi"/>
          <w:sz w:val="20"/>
          <w:szCs w:val="20"/>
          <w:lang w:val="en-US"/>
        </w:rPr>
      </w:pPr>
    </w:p>
    <w:p w14:paraId="1CC6EBC9" w14:textId="171035F2" w:rsidR="00720BD0" w:rsidRPr="006A79AD" w:rsidRDefault="009F42CD" w:rsidP="00655FF4">
      <w:pPr>
        <w:numPr>
          <w:ilvl w:val="0"/>
          <w:numId w:val="5"/>
        </w:numPr>
        <w:spacing w:before="240" w:after="240" w:line="259" w:lineRule="auto"/>
        <w:contextualSpacing/>
        <w:jc w:val="both"/>
        <w:rPr>
          <w:rFonts w:eastAsia="Times New Roman" w:cstheme="minorHAnsi"/>
          <w:sz w:val="20"/>
          <w:szCs w:val="20"/>
          <w:lang w:val="en-US"/>
        </w:rPr>
      </w:pPr>
      <w:r w:rsidRPr="006A79AD">
        <w:rPr>
          <w:rFonts w:eastAsia="Times New Roman" w:cstheme="minorHAnsi"/>
          <w:sz w:val="20"/>
          <w:szCs w:val="20"/>
          <w:lang w:val="en-US"/>
        </w:rPr>
        <w:t xml:space="preserve">This common proposal sets out </w:t>
      </w:r>
      <w:r w:rsidR="00F60169" w:rsidRPr="006A79AD">
        <w:rPr>
          <w:rFonts w:eastAsia="Times New Roman" w:cstheme="minorHAnsi"/>
          <w:sz w:val="20"/>
          <w:szCs w:val="20"/>
          <w:lang w:val="en-US"/>
        </w:rPr>
        <w:t xml:space="preserve">specific </w:t>
      </w:r>
      <w:r w:rsidR="004D7879" w:rsidRPr="006A79AD">
        <w:rPr>
          <w:rFonts w:eastAsia="Times New Roman" w:cstheme="minorHAnsi"/>
          <w:sz w:val="20"/>
          <w:szCs w:val="20"/>
          <w:lang w:val="en-US"/>
        </w:rPr>
        <w:t>requirements</w:t>
      </w:r>
      <w:r w:rsidR="00F60169" w:rsidRPr="006A79AD">
        <w:rPr>
          <w:rFonts w:eastAsia="Times New Roman" w:cstheme="minorHAnsi"/>
          <w:sz w:val="20"/>
          <w:szCs w:val="20"/>
          <w:lang w:val="en-US"/>
        </w:rPr>
        <w:t xml:space="preserve"> applicable to the </w:t>
      </w:r>
      <w:r w:rsidR="003A43F1" w:rsidRPr="006A79AD">
        <w:rPr>
          <w:rFonts w:eastAsia="Times New Roman" w:cstheme="minorHAnsi"/>
          <w:sz w:val="20"/>
          <w:szCs w:val="20"/>
          <w:lang w:val="en-US"/>
        </w:rPr>
        <w:t xml:space="preserve">Baltic </w:t>
      </w:r>
      <w:r w:rsidR="008E6BFB" w:rsidRPr="006A79AD">
        <w:rPr>
          <w:rFonts w:eastAsia="Times New Roman" w:cstheme="minorHAnsi"/>
          <w:sz w:val="20"/>
          <w:szCs w:val="20"/>
          <w:lang w:val="en-US"/>
        </w:rPr>
        <w:t>CCR</w:t>
      </w:r>
      <w:r w:rsidR="00F60169" w:rsidRPr="006A79AD">
        <w:rPr>
          <w:rFonts w:eastAsia="Times New Roman" w:cstheme="minorHAnsi"/>
          <w:sz w:val="20"/>
          <w:szCs w:val="20"/>
          <w:lang w:val="en-US"/>
        </w:rPr>
        <w:t xml:space="preserve"> </w:t>
      </w:r>
      <w:r w:rsidR="004D7879" w:rsidRPr="006A79AD">
        <w:rPr>
          <w:rFonts w:eastAsia="Times New Roman" w:cstheme="minorHAnsi"/>
          <w:sz w:val="20"/>
          <w:szCs w:val="20"/>
          <w:lang w:val="en-US"/>
        </w:rPr>
        <w:t xml:space="preserve">at </w:t>
      </w:r>
      <w:r w:rsidR="00AF0502" w:rsidRPr="006A79AD">
        <w:rPr>
          <w:rFonts w:eastAsia="Times New Roman" w:cstheme="minorHAnsi"/>
          <w:sz w:val="20"/>
          <w:szCs w:val="20"/>
          <w:lang w:val="en-US"/>
        </w:rPr>
        <w:t xml:space="preserve">the </w:t>
      </w:r>
      <w:r w:rsidR="008624EA" w:rsidRPr="006A79AD">
        <w:rPr>
          <w:rFonts w:eastAsia="Times New Roman" w:cstheme="minorHAnsi"/>
          <w:sz w:val="20"/>
          <w:szCs w:val="20"/>
          <w:lang w:val="en-US"/>
        </w:rPr>
        <w:t xml:space="preserve">Estonia-Latvia </w:t>
      </w:r>
      <w:r w:rsidR="00FA1158">
        <w:rPr>
          <w:rFonts w:eastAsia="Times New Roman" w:cstheme="minorHAnsi"/>
          <w:sz w:val="20"/>
          <w:szCs w:val="20"/>
          <w:lang w:val="en-US"/>
        </w:rPr>
        <w:t>B</w:t>
      </w:r>
      <w:r w:rsidR="004D7879" w:rsidRPr="006A79AD">
        <w:rPr>
          <w:rFonts w:eastAsia="Times New Roman" w:cstheme="minorHAnsi"/>
          <w:sz w:val="20"/>
          <w:szCs w:val="20"/>
          <w:lang w:val="en-US"/>
        </w:rPr>
        <w:t xml:space="preserve">idding </w:t>
      </w:r>
      <w:r w:rsidR="00FA1158">
        <w:rPr>
          <w:rFonts w:eastAsia="Times New Roman" w:cstheme="minorHAnsi"/>
          <w:sz w:val="20"/>
          <w:szCs w:val="20"/>
          <w:lang w:val="en-US"/>
        </w:rPr>
        <w:t>Z</w:t>
      </w:r>
      <w:r w:rsidR="004D7879" w:rsidRPr="006A79AD">
        <w:rPr>
          <w:rFonts w:eastAsia="Times New Roman" w:cstheme="minorHAnsi"/>
          <w:sz w:val="20"/>
          <w:szCs w:val="20"/>
          <w:lang w:val="en-US"/>
        </w:rPr>
        <w:t xml:space="preserve">one border level </w:t>
      </w:r>
      <w:r w:rsidR="0001314B" w:rsidRPr="006A79AD">
        <w:rPr>
          <w:rFonts w:eastAsia="Times New Roman" w:cstheme="minorHAnsi"/>
          <w:sz w:val="20"/>
          <w:szCs w:val="20"/>
          <w:lang w:val="en-US"/>
        </w:rPr>
        <w:t>(hereafter referred to as “</w:t>
      </w:r>
      <w:r w:rsidR="0001314B" w:rsidRPr="006A79AD">
        <w:rPr>
          <w:rFonts w:eastAsia="Times New Roman" w:cstheme="minorHAnsi"/>
          <w:b/>
          <w:sz w:val="20"/>
          <w:szCs w:val="20"/>
          <w:lang w:val="en-US"/>
        </w:rPr>
        <w:t>EE-LV Border Specific Annex</w:t>
      </w:r>
      <w:r w:rsidR="0001314B" w:rsidRPr="006A79AD">
        <w:rPr>
          <w:rFonts w:eastAsia="Times New Roman" w:cstheme="minorHAnsi"/>
          <w:sz w:val="20"/>
          <w:szCs w:val="20"/>
          <w:lang w:val="en-US"/>
        </w:rPr>
        <w:t xml:space="preserve">”) </w:t>
      </w:r>
      <w:r w:rsidR="004D7879" w:rsidRPr="006A79AD">
        <w:rPr>
          <w:rFonts w:eastAsia="Times New Roman" w:cstheme="minorHAnsi"/>
          <w:sz w:val="20"/>
          <w:szCs w:val="20"/>
          <w:lang w:val="en-US"/>
        </w:rPr>
        <w:t>pursuant to Article 52(3)</w:t>
      </w:r>
      <w:r w:rsidR="000B6961" w:rsidRPr="006A79AD">
        <w:rPr>
          <w:rFonts w:eastAsia="Times New Roman" w:cstheme="minorHAnsi"/>
          <w:sz w:val="20"/>
          <w:szCs w:val="20"/>
          <w:lang w:val="en-US"/>
        </w:rPr>
        <w:t xml:space="preserve"> of the FCA Regulation.</w:t>
      </w:r>
    </w:p>
    <w:p w14:paraId="165042BB" w14:textId="77777777" w:rsidR="00FD5B46" w:rsidRPr="006A79AD" w:rsidRDefault="00FD5B46" w:rsidP="00FD5B46">
      <w:pPr>
        <w:spacing w:after="240" w:line="259" w:lineRule="auto"/>
        <w:ind w:left="720"/>
        <w:contextualSpacing/>
        <w:jc w:val="both"/>
        <w:rPr>
          <w:rFonts w:eastAsia="Times New Roman" w:cstheme="minorHAnsi"/>
          <w:sz w:val="20"/>
          <w:szCs w:val="20"/>
          <w:lang w:val="en-US"/>
        </w:rPr>
      </w:pPr>
    </w:p>
    <w:p w14:paraId="201CC911" w14:textId="5E3F07F0" w:rsidR="00FE0011" w:rsidRPr="006A79AD" w:rsidRDefault="00FE0011" w:rsidP="00D5113D">
      <w:pPr>
        <w:numPr>
          <w:ilvl w:val="0"/>
          <w:numId w:val="5"/>
        </w:numPr>
        <w:spacing w:after="240" w:line="259" w:lineRule="auto"/>
        <w:contextualSpacing/>
        <w:jc w:val="both"/>
        <w:rPr>
          <w:rFonts w:eastAsia="Times New Roman" w:cstheme="minorHAnsi"/>
          <w:sz w:val="20"/>
          <w:szCs w:val="20"/>
          <w:lang w:val="en-US"/>
        </w:rPr>
      </w:pPr>
      <w:r w:rsidRPr="006A79AD">
        <w:rPr>
          <w:rFonts w:eastAsia="Times New Roman" w:cstheme="minorHAnsi"/>
          <w:sz w:val="20"/>
          <w:szCs w:val="20"/>
          <w:lang w:val="en-US"/>
        </w:rPr>
        <w:t xml:space="preserve">This </w:t>
      </w:r>
      <w:r w:rsidR="00D5113D" w:rsidRPr="006A79AD">
        <w:rPr>
          <w:rFonts w:eastAsia="Times New Roman" w:cstheme="minorHAnsi"/>
          <w:sz w:val="20"/>
          <w:szCs w:val="20"/>
          <w:lang w:val="en-US"/>
        </w:rPr>
        <w:t>EE-LV Border Specific Annex</w:t>
      </w:r>
      <w:r w:rsidRPr="006A79AD">
        <w:rPr>
          <w:rFonts w:eastAsia="Times New Roman" w:cstheme="minorHAnsi"/>
          <w:sz w:val="20"/>
          <w:szCs w:val="20"/>
          <w:lang w:val="en-US"/>
        </w:rPr>
        <w:t xml:space="preserve"> includes </w:t>
      </w:r>
      <w:r w:rsidR="00260AEB" w:rsidRPr="006A79AD">
        <w:rPr>
          <w:rFonts w:eastAsia="Times New Roman" w:cstheme="minorHAnsi"/>
          <w:sz w:val="20"/>
          <w:szCs w:val="20"/>
          <w:lang w:val="en-US"/>
        </w:rPr>
        <w:t>the following</w:t>
      </w:r>
      <w:r w:rsidRPr="006A79AD">
        <w:rPr>
          <w:rFonts w:eastAsia="Times New Roman" w:cstheme="minorHAnsi"/>
          <w:sz w:val="20"/>
          <w:szCs w:val="20"/>
          <w:lang w:val="en-US"/>
        </w:rPr>
        <w:t xml:space="preserve"> </w:t>
      </w:r>
      <w:r w:rsidR="00594508" w:rsidRPr="006A79AD">
        <w:rPr>
          <w:rFonts w:eastAsia="Times New Roman" w:cstheme="minorHAnsi"/>
          <w:sz w:val="20"/>
          <w:szCs w:val="20"/>
          <w:lang w:val="en-US"/>
        </w:rPr>
        <w:t>titles:</w:t>
      </w:r>
    </w:p>
    <w:p w14:paraId="0B5A4F72" w14:textId="7EE9C282" w:rsidR="00341096" w:rsidRPr="006A79AD" w:rsidRDefault="00D5113D" w:rsidP="00D5113D">
      <w:pPr>
        <w:numPr>
          <w:ilvl w:val="1"/>
          <w:numId w:val="5"/>
        </w:numPr>
        <w:spacing w:after="240" w:line="259" w:lineRule="auto"/>
        <w:contextualSpacing/>
        <w:jc w:val="both"/>
        <w:rPr>
          <w:rFonts w:eastAsia="Times New Roman" w:cstheme="minorHAnsi"/>
          <w:sz w:val="20"/>
          <w:szCs w:val="20"/>
          <w:lang w:val="en-US"/>
        </w:rPr>
      </w:pPr>
      <w:r w:rsidRPr="006A79AD">
        <w:rPr>
          <w:rFonts w:eastAsia="Times New Roman" w:cstheme="minorHAnsi"/>
          <w:sz w:val="20"/>
          <w:szCs w:val="20"/>
          <w:lang w:val="en-US"/>
        </w:rPr>
        <w:t>t</w:t>
      </w:r>
      <w:r w:rsidR="00260AEB" w:rsidRPr="006A79AD">
        <w:rPr>
          <w:rFonts w:eastAsia="Times New Roman" w:cstheme="minorHAnsi"/>
          <w:sz w:val="20"/>
          <w:szCs w:val="20"/>
          <w:lang w:val="en-US"/>
        </w:rPr>
        <w:t>he first title cover</w:t>
      </w:r>
      <w:r w:rsidR="00341096" w:rsidRPr="006A79AD">
        <w:rPr>
          <w:rFonts w:eastAsia="Times New Roman" w:cstheme="minorHAnsi"/>
          <w:sz w:val="20"/>
          <w:szCs w:val="20"/>
          <w:lang w:val="en-US"/>
        </w:rPr>
        <w:t xml:space="preserve">s general provisions of the </w:t>
      </w:r>
      <w:r w:rsidRPr="006A79AD">
        <w:rPr>
          <w:rFonts w:eastAsia="Times New Roman" w:cstheme="minorHAnsi"/>
          <w:sz w:val="20"/>
          <w:szCs w:val="20"/>
          <w:lang w:val="en-US"/>
        </w:rPr>
        <w:t>EE-LV Border Specific Annex</w:t>
      </w:r>
      <w:r w:rsidR="00341096" w:rsidRPr="006A79AD">
        <w:rPr>
          <w:rFonts w:eastAsia="Times New Roman" w:cstheme="minorHAnsi"/>
          <w:sz w:val="20"/>
          <w:szCs w:val="20"/>
          <w:lang w:val="en-US"/>
        </w:rPr>
        <w:t xml:space="preserve">; </w:t>
      </w:r>
    </w:p>
    <w:p w14:paraId="22A679B8" w14:textId="68D7F5CD" w:rsidR="00C12BB2" w:rsidRPr="006A79AD" w:rsidRDefault="00D5113D" w:rsidP="00FD5B46">
      <w:pPr>
        <w:numPr>
          <w:ilvl w:val="1"/>
          <w:numId w:val="5"/>
        </w:numPr>
        <w:spacing w:after="240" w:line="259" w:lineRule="auto"/>
        <w:ind w:hanging="357"/>
        <w:contextualSpacing/>
        <w:jc w:val="both"/>
        <w:rPr>
          <w:rFonts w:eastAsia="Times New Roman" w:cstheme="minorHAnsi"/>
          <w:sz w:val="20"/>
          <w:szCs w:val="20"/>
          <w:lang w:val="en-US"/>
        </w:rPr>
      </w:pPr>
      <w:r w:rsidRPr="006A79AD">
        <w:rPr>
          <w:rFonts w:eastAsia="Times New Roman" w:cstheme="minorHAnsi"/>
          <w:sz w:val="20"/>
          <w:szCs w:val="20"/>
          <w:lang w:val="en-US"/>
        </w:rPr>
        <w:t>t</w:t>
      </w:r>
      <w:r w:rsidR="00341096" w:rsidRPr="006A79AD">
        <w:rPr>
          <w:rFonts w:eastAsia="Times New Roman" w:cstheme="minorHAnsi"/>
          <w:sz w:val="20"/>
          <w:szCs w:val="20"/>
          <w:lang w:val="en-US"/>
        </w:rPr>
        <w:t xml:space="preserve">he second title addresses the applicability of a cap on compensations for curtailments in accordance with Article 59 of </w:t>
      </w:r>
      <w:r w:rsidR="00BB0F63" w:rsidRPr="006A79AD">
        <w:rPr>
          <w:rFonts w:eastAsia="Times New Roman" w:cstheme="minorHAnsi"/>
          <w:sz w:val="20"/>
          <w:szCs w:val="20"/>
          <w:lang w:val="en-US"/>
        </w:rPr>
        <w:t xml:space="preserve">the </w:t>
      </w:r>
      <w:r w:rsidR="00C12BB2" w:rsidRPr="006A79AD">
        <w:rPr>
          <w:rFonts w:eastAsia="Times New Roman" w:cstheme="minorHAnsi"/>
          <w:sz w:val="20"/>
          <w:szCs w:val="20"/>
          <w:lang w:val="en-US"/>
        </w:rPr>
        <w:t>HAR;</w:t>
      </w:r>
      <w:r w:rsidRPr="006A79AD">
        <w:rPr>
          <w:rFonts w:eastAsia="Times New Roman" w:cstheme="minorHAnsi"/>
          <w:sz w:val="20"/>
          <w:szCs w:val="20"/>
          <w:lang w:val="en-US"/>
        </w:rPr>
        <w:t xml:space="preserve"> </w:t>
      </w:r>
      <w:r w:rsidR="00C12BB2" w:rsidRPr="006A79AD">
        <w:rPr>
          <w:rFonts w:eastAsia="Times New Roman" w:cstheme="minorHAnsi"/>
          <w:sz w:val="20"/>
          <w:szCs w:val="20"/>
          <w:lang w:val="en-US"/>
        </w:rPr>
        <w:t xml:space="preserve"> </w:t>
      </w:r>
    </w:p>
    <w:p w14:paraId="67984F40" w14:textId="2E4A5961" w:rsidR="00CD1CBD" w:rsidRPr="006A79AD" w:rsidRDefault="00D5113D" w:rsidP="00FD5B46">
      <w:pPr>
        <w:numPr>
          <w:ilvl w:val="1"/>
          <w:numId w:val="5"/>
        </w:numPr>
        <w:spacing w:after="240" w:line="259" w:lineRule="auto"/>
        <w:ind w:hanging="357"/>
        <w:contextualSpacing/>
        <w:jc w:val="both"/>
        <w:rPr>
          <w:rFonts w:eastAsia="Times New Roman" w:cstheme="minorHAnsi"/>
          <w:sz w:val="20"/>
          <w:szCs w:val="20"/>
          <w:lang w:val="en-US"/>
        </w:rPr>
      </w:pPr>
      <w:proofErr w:type="gramStart"/>
      <w:r w:rsidRPr="006A79AD">
        <w:rPr>
          <w:rFonts w:eastAsia="Times New Roman" w:cstheme="minorHAnsi"/>
          <w:sz w:val="20"/>
          <w:szCs w:val="20"/>
          <w:lang w:val="en-US"/>
        </w:rPr>
        <w:t>t</w:t>
      </w:r>
      <w:r w:rsidR="00C12BB2" w:rsidRPr="006A79AD">
        <w:rPr>
          <w:rFonts w:eastAsia="Times New Roman" w:cstheme="minorHAnsi"/>
          <w:sz w:val="20"/>
          <w:szCs w:val="20"/>
          <w:lang w:val="en-US"/>
        </w:rPr>
        <w:t>he</w:t>
      </w:r>
      <w:proofErr w:type="gramEnd"/>
      <w:r w:rsidR="00C12BB2" w:rsidRPr="006A79AD">
        <w:rPr>
          <w:rFonts w:eastAsia="Times New Roman" w:cstheme="minorHAnsi"/>
          <w:sz w:val="20"/>
          <w:szCs w:val="20"/>
          <w:lang w:val="en-US"/>
        </w:rPr>
        <w:t xml:space="preserve"> third title details </w:t>
      </w:r>
      <w:r w:rsidR="00857638" w:rsidRPr="006A79AD">
        <w:rPr>
          <w:rFonts w:eastAsia="Times New Roman" w:cstheme="minorHAnsi"/>
          <w:sz w:val="20"/>
          <w:szCs w:val="20"/>
          <w:lang w:val="en-US"/>
        </w:rPr>
        <w:t xml:space="preserve">further regional or </w:t>
      </w:r>
      <w:r w:rsidR="00567718">
        <w:rPr>
          <w:rFonts w:eastAsia="Times New Roman" w:cstheme="minorHAnsi"/>
          <w:sz w:val="20"/>
          <w:szCs w:val="20"/>
          <w:lang w:val="en-US"/>
        </w:rPr>
        <w:t>B</w:t>
      </w:r>
      <w:r w:rsidR="00857638" w:rsidRPr="006A79AD">
        <w:rPr>
          <w:rFonts w:eastAsia="Times New Roman" w:cstheme="minorHAnsi"/>
          <w:sz w:val="20"/>
          <w:szCs w:val="20"/>
          <w:lang w:val="en-US"/>
        </w:rPr>
        <w:t xml:space="preserve">idding </w:t>
      </w:r>
      <w:r w:rsidR="00567718">
        <w:rPr>
          <w:rFonts w:eastAsia="Times New Roman" w:cstheme="minorHAnsi"/>
          <w:sz w:val="20"/>
          <w:szCs w:val="20"/>
          <w:lang w:val="en-US"/>
        </w:rPr>
        <w:t>Z</w:t>
      </w:r>
      <w:r w:rsidR="00857638" w:rsidRPr="006A79AD">
        <w:rPr>
          <w:rFonts w:eastAsia="Times New Roman" w:cstheme="minorHAnsi"/>
          <w:sz w:val="20"/>
          <w:szCs w:val="20"/>
          <w:lang w:val="en-US"/>
        </w:rPr>
        <w:t xml:space="preserve">one border specificities applicable to the </w:t>
      </w:r>
      <w:r w:rsidR="00A37790" w:rsidRPr="006A79AD">
        <w:rPr>
          <w:rFonts w:eastAsia="Times New Roman" w:cstheme="minorHAnsi"/>
          <w:sz w:val="20"/>
          <w:szCs w:val="20"/>
          <w:lang w:val="en-US"/>
        </w:rPr>
        <w:t xml:space="preserve">Baltic </w:t>
      </w:r>
      <w:r w:rsidRPr="006A79AD">
        <w:rPr>
          <w:rFonts w:eastAsia="Times New Roman" w:cstheme="minorHAnsi"/>
          <w:sz w:val="20"/>
          <w:szCs w:val="20"/>
          <w:lang w:val="en-US"/>
        </w:rPr>
        <w:t>CCR</w:t>
      </w:r>
      <w:r w:rsidR="00A37790" w:rsidRPr="006A79AD">
        <w:rPr>
          <w:rFonts w:eastAsia="Times New Roman" w:cstheme="minorHAnsi"/>
          <w:sz w:val="20"/>
          <w:szCs w:val="20"/>
          <w:lang w:val="en-US"/>
        </w:rPr>
        <w:t xml:space="preserve"> </w:t>
      </w:r>
      <w:r w:rsidR="00857638" w:rsidRPr="006A79AD">
        <w:rPr>
          <w:rFonts w:eastAsia="Times New Roman" w:cstheme="minorHAnsi"/>
          <w:sz w:val="20"/>
          <w:szCs w:val="20"/>
          <w:lang w:val="en-US"/>
        </w:rPr>
        <w:t>in accordance with Article 52(3) of the FCA Regulation.</w:t>
      </w:r>
      <w:r w:rsidRPr="006A79AD">
        <w:rPr>
          <w:rFonts w:eastAsia="Times New Roman" w:cstheme="minorHAnsi"/>
          <w:sz w:val="20"/>
          <w:szCs w:val="20"/>
          <w:lang w:val="en-US"/>
        </w:rPr>
        <w:t xml:space="preserve"> </w:t>
      </w:r>
      <w:r w:rsidR="00857638" w:rsidRPr="006A79AD">
        <w:rPr>
          <w:rFonts w:eastAsia="Times New Roman" w:cstheme="minorHAnsi"/>
          <w:sz w:val="20"/>
          <w:szCs w:val="20"/>
          <w:lang w:val="en-US"/>
        </w:rPr>
        <w:t xml:space="preserve"> </w:t>
      </w:r>
    </w:p>
    <w:p w14:paraId="5925280F" w14:textId="77777777" w:rsidR="00FD5B46" w:rsidRPr="006A79AD" w:rsidRDefault="00FD5B46" w:rsidP="00FD5B46">
      <w:pPr>
        <w:spacing w:after="240" w:line="259" w:lineRule="auto"/>
        <w:ind w:left="1440"/>
        <w:contextualSpacing/>
        <w:jc w:val="both"/>
        <w:rPr>
          <w:rFonts w:eastAsia="Times New Roman" w:cstheme="minorHAnsi"/>
          <w:sz w:val="20"/>
          <w:szCs w:val="20"/>
          <w:lang w:val="en-US"/>
        </w:rPr>
      </w:pPr>
    </w:p>
    <w:p w14:paraId="017EB12D" w14:textId="6CDA9686" w:rsidR="002309D3" w:rsidRPr="006A79AD" w:rsidRDefault="00FE0011" w:rsidP="00FD5B46">
      <w:pPr>
        <w:numPr>
          <w:ilvl w:val="0"/>
          <w:numId w:val="5"/>
        </w:numPr>
        <w:spacing w:after="240" w:line="259" w:lineRule="auto"/>
        <w:ind w:hanging="357"/>
        <w:contextualSpacing/>
        <w:jc w:val="both"/>
        <w:rPr>
          <w:rFonts w:eastAsia="Times New Roman" w:cstheme="minorHAnsi"/>
          <w:sz w:val="20"/>
          <w:szCs w:val="20"/>
          <w:lang w:val="en-US"/>
        </w:rPr>
      </w:pPr>
      <w:r w:rsidRPr="006A79AD">
        <w:rPr>
          <w:rFonts w:eastAsia="Times New Roman" w:cstheme="minorHAnsi"/>
          <w:sz w:val="20"/>
          <w:szCs w:val="20"/>
          <w:lang w:val="en-US"/>
        </w:rPr>
        <w:t xml:space="preserve">In accordance with Article 6 of the FCA Regulation, proposals at regional level </w:t>
      </w:r>
      <w:proofErr w:type="gramStart"/>
      <w:r w:rsidRPr="006A79AD">
        <w:rPr>
          <w:rFonts w:eastAsia="Times New Roman" w:cstheme="minorHAnsi"/>
          <w:sz w:val="20"/>
          <w:szCs w:val="20"/>
          <w:lang w:val="en-US"/>
        </w:rPr>
        <w:t>should be submitted</w:t>
      </w:r>
      <w:proofErr w:type="gramEnd"/>
      <w:r w:rsidRPr="006A79AD">
        <w:rPr>
          <w:rFonts w:eastAsia="Times New Roman" w:cstheme="minorHAnsi"/>
          <w:sz w:val="20"/>
          <w:szCs w:val="20"/>
          <w:lang w:val="en-US"/>
        </w:rPr>
        <w:t xml:space="preserve"> to consultation at least at regional level. </w:t>
      </w:r>
    </w:p>
    <w:p w14:paraId="745FCA22" w14:textId="77777777" w:rsidR="00FD5B46" w:rsidRPr="006A79AD" w:rsidRDefault="00FD5B46" w:rsidP="00FD5B46">
      <w:pPr>
        <w:spacing w:after="240" w:line="259" w:lineRule="auto"/>
        <w:ind w:left="720"/>
        <w:contextualSpacing/>
        <w:jc w:val="both"/>
        <w:rPr>
          <w:rFonts w:eastAsia="Times New Roman" w:cstheme="minorHAnsi"/>
          <w:sz w:val="20"/>
          <w:szCs w:val="20"/>
          <w:lang w:val="en-US"/>
        </w:rPr>
      </w:pPr>
    </w:p>
    <w:p w14:paraId="19DA82CD" w14:textId="5518831A" w:rsidR="00720BD0" w:rsidRPr="00812957" w:rsidRDefault="00C13B46" w:rsidP="0001314B">
      <w:pPr>
        <w:numPr>
          <w:ilvl w:val="0"/>
          <w:numId w:val="5"/>
        </w:numPr>
        <w:spacing w:after="240" w:line="259" w:lineRule="auto"/>
        <w:contextualSpacing/>
        <w:jc w:val="both"/>
        <w:rPr>
          <w:rFonts w:cstheme="minorHAnsi"/>
          <w:sz w:val="20"/>
          <w:szCs w:val="20"/>
          <w:lang w:val="en-US"/>
        </w:rPr>
      </w:pPr>
      <w:r w:rsidRPr="00812957">
        <w:rPr>
          <w:rFonts w:cstheme="minorHAnsi"/>
          <w:sz w:val="20"/>
          <w:szCs w:val="20"/>
          <w:lang w:val="en-US"/>
        </w:rPr>
        <w:t xml:space="preserve">This </w:t>
      </w:r>
      <w:r w:rsidR="0001314B" w:rsidRPr="00812957">
        <w:rPr>
          <w:rFonts w:cstheme="minorHAnsi"/>
          <w:sz w:val="20"/>
          <w:szCs w:val="20"/>
          <w:lang w:val="en-US"/>
        </w:rPr>
        <w:t>EE-LV Border Specific Ann</w:t>
      </w:r>
      <w:r w:rsidR="0001314B" w:rsidRPr="00507F64">
        <w:rPr>
          <w:rFonts w:cstheme="minorHAnsi"/>
          <w:sz w:val="20"/>
          <w:szCs w:val="20"/>
          <w:lang w:val="en-US"/>
        </w:rPr>
        <w:t>ex</w:t>
      </w:r>
      <w:r w:rsidRPr="00507F64">
        <w:rPr>
          <w:rFonts w:cstheme="minorHAnsi"/>
          <w:sz w:val="20"/>
          <w:szCs w:val="20"/>
          <w:lang w:val="en-US"/>
        </w:rPr>
        <w:t xml:space="preserve"> replaces </w:t>
      </w:r>
      <w:r w:rsidRPr="00866290">
        <w:rPr>
          <w:rFonts w:cstheme="minorHAnsi"/>
          <w:sz w:val="20"/>
          <w:szCs w:val="20"/>
          <w:lang w:val="en-US"/>
        </w:rPr>
        <w:t>former</w:t>
      </w:r>
      <w:r w:rsidR="00081777" w:rsidRPr="006A79AD">
        <w:rPr>
          <w:lang w:val="en-US"/>
        </w:rPr>
        <w:t xml:space="preserve"> </w:t>
      </w:r>
      <w:r w:rsidR="00DD5822" w:rsidRPr="00812957">
        <w:rPr>
          <w:rFonts w:cstheme="minorHAnsi"/>
          <w:sz w:val="20"/>
          <w:szCs w:val="20"/>
          <w:lang w:val="en-US"/>
        </w:rPr>
        <w:t>the</w:t>
      </w:r>
      <w:r w:rsidR="00DD5822" w:rsidRPr="006A79AD">
        <w:rPr>
          <w:rFonts w:cstheme="minorHAnsi"/>
          <w:sz w:val="20"/>
          <w:szCs w:val="20"/>
          <w:lang w:val="en-US"/>
        </w:rPr>
        <w:t xml:space="preserve"> </w:t>
      </w:r>
      <w:r w:rsidR="00081777" w:rsidRPr="006A79AD">
        <w:rPr>
          <w:rFonts w:cstheme="minorHAnsi"/>
          <w:sz w:val="20"/>
          <w:szCs w:val="20"/>
          <w:lang w:val="en-US"/>
        </w:rPr>
        <w:t xml:space="preserve">Regional and Bidding Zone Border Specific Annex for Baltic Capacity Calculation Region to the </w:t>
      </w:r>
      <w:proofErr w:type="spellStart"/>
      <w:r w:rsidR="00081777" w:rsidRPr="006A79AD">
        <w:rPr>
          <w:rFonts w:cstheme="minorHAnsi"/>
          <w:sz w:val="20"/>
          <w:szCs w:val="20"/>
          <w:lang w:val="en-US"/>
        </w:rPr>
        <w:t>Harmonised</w:t>
      </w:r>
      <w:proofErr w:type="spellEnd"/>
      <w:r w:rsidR="00081777" w:rsidRPr="006A79AD">
        <w:rPr>
          <w:rFonts w:cstheme="minorHAnsi"/>
          <w:sz w:val="20"/>
          <w:szCs w:val="20"/>
          <w:lang w:val="en-US"/>
        </w:rPr>
        <w:t xml:space="preserve"> Allocation Rules for long-term transmission rights in accordance with Article 52 of </w:t>
      </w:r>
      <w:proofErr w:type="spellStart"/>
      <w:r w:rsidR="00081777" w:rsidRPr="006A79AD">
        <w:rPr>
          <w:rFonts w:cstheme="minorHAnsi"/>
          <w:sz w:val="20"/>
          <w:szCs w:val="20"/>
          <w:lang w:val="en-US"/>
        </w:rPr>
        <w:t>Commision</w:t>
      </w:r>
      <w:proofErr w:type="spellEnd"/>
      <w:r w:rsidR="00081777" w:rsidRPr="006A79AD">
        <w:rPr>
          <w:rFonts w:cstheme="minorHAnsi"/>
          <w:sz w:val="20"/>
          <w:szCs w:val="20"/>
          <w:lang w:val="en-US"/>
        </w:rPr>
        <w:t xml:space="preserve"> Regulation (EU) 2016/1719 of 26 September 2016 establishing a Guideline on Forward Capacity Allocation dated on 13 April 2017</w:t>
      </w:r>
      <w:r w:rsidR="00FD13B1" w:rsidRPr="00812957">
        <w:rPr>
          <w:rFonts w:cstheme="minorHAnsi"/>
          <w:sz w:val="20"/>
          <w:szCs w:val="20"/>
          <w:lang w:val="en-US"/>
        </w:rPr>
        <w:t xml:space="preserve">. </w:t>
      </w:r>
    </w:p>
    <w:p w14:paraId="6ED8A8A5" w14:textId="77777777" w:rsidR="00FD5B46" w:rsidRPr="00507F64" w:rsidRDefault="00FD5B46" w:rsidP="00FD5B46">
      <w:pPr>
        <w:spacing w:after="240" w:line="259" w:lineRule="auto"/>
        <w:ind w:left="720"/>
        <w:contextualSpacing/>
        <w:jc w:val="both"/>
        <w:rPr>
          <w:rFonts w:cstheme="minorHAnsi"/>
          <w:sz w:val="20"/>
          <w:szCs w:val="20"/>
          <w:lang w:val="en-US"/>
        </w:rPr>
      </w:pPr>
    </w:p>
    <w:p w14:paraId="08CAA84C" w14:textId="363ACCFB" w:rsidR="00FD13B1" w:rsidRPr="00812957" w:rsidRDefault="00FD13B1" w:rsidP="00FD5B46">
      <w:pPr>
        <w:numPr>
          <w:ilvl w:val="0"/>
          <w:numId w:val="5"/>
        </w:numPr>
        <w:spacing w:after="240" w:line="259" w:lineRule="auto"/>
        <w:ind w:hanging="357"/>
        <w:contextualSpacing/>
        <w:jc w:val="both"/>
        <w:rPr>
          <w:rFonts w:cstheme="minorHAnsi"/>
          <w:sz w:val="20"/>
          <w:szCs w:val="20"/>
          <w:lang w:val="en-US"/>
        </w:rPr>
      </w:pPr>
      <w:r w:rsidRPr="00E771F1">
        <w:rPr>
          <w:rFonts w:cstheme="minorHAnsi"/>
          <w:sz w:val="20"/>
          <w:szCs w:val="20"/>
          <w:lang w:val="en-US"/>
        </w:rPr>
        <w:t xml:space="preserve">This </w:t>
      </w:r>
      <w:r w:rsidR="00DD5822" w:rsidRPr="006A79AD">
        <w:rPr>
          <w:rFonts w:cstheme="minorHAnsi"/>
          <w:sz w:val="20"/>
          <w:szCs w:val="20"/>
          <w:lang w:val="en-US"/>
        </w:rPr>
        <w:t>EE-LV Border Specific Annex</w:t>
      </w:r>
      <w:r w:rsidRPr="006A79AD">
        <w:rPr>
          <w:rFonts w:cstheme="minorHAnsi"/>
          <w:sz w:val="20"/>
          <w:szCs w:val="20"/>
          <w:lang w:val="en-US"/>
        </w:rPr>
        <w:t xml:space="preserve"> is submitted for the appro</w:t>
      </w:r>
      <w:r w:rsidR="00C362D9" w:rsidRPr="006A79AD">
        <w:rPr>
          <w:rFonts w:cstheme="minorHAnsi"/>
          <w:sz w:val="20"/>
          <w:szCs w:val="20"/>
          <w:lang w:val="en-US"/>
        </w:rPr>
        <w:t>v</w:t>
      </w:r>
      <w:r w:rsidRPr="006A79AD">
        <w:rPr>
          <w:rFonts w:cstheme="minorHAnsi"/>
          <w:sz w:val="20"/>
          <w:szCs w:val="20"/>
          <w:lang w:val="en-US"/>
        </w:rPr>
        <w:t xml:space="preserve">al </w:t>
      </w:r>
      <w:r w:rsidR="00081777" w:rsidRPr="006A79AD">
        <w:rPr>
          <w:rFonts w:cstheme="minorHAnsi"/>
          <w:sz w:val="20"/>
          <w:szCs w:val="20"/>
          <w:lang w:val="en-US"/>
        </w:rPr>
        <w:t xml:space="preserve">to </w:t>
      </w:r>
      <w:r w:rsidRPr="006A79AD">
        <w:rPr>
          <w:rFonts w:cstheme="minorHAnsi"/>
          <w:sz w:val="20"/>
          <w:szCs w:val="20"/>
          <w:lang w:val="en-US"/>
        </w:rPr>
        <w:t xml:space="preserve">all </w:t>
      </w:r>
      <w:r w:rsidR="00081777" w:rsidRPr="006A79AD">
        <w:rPr>
          <w:rFonts w:cstheme="minorHAnsi"/>
          <w:sz w:val="20"/>
          <w:szCs w:val="20"/>
          <w:lang w:val="en-US"/>
        </w:rPr>
        <w:t>n</w:t>
      </w:r>
      <w:r w:rsidRPr="006A79AD">
        <w:rPr>
          <w:rFonts w:cstheme="minorHAnsi"/>
          <w:sz w:val="20"/>
          <w:szCs w:val="20"/>
          <w:lang w:val="en-US"/>
        </w:rPr>
        <w:t xml:space="preserve">ational </w:t>
      </w:r>
      <w:r w:rsidR="00081777" w:rsidRPr="006A79AD">
        <w:rPr>
          <w:rFonts w:cstheme="minorHAnsi"/>
          <w:sz w:val="20"/>
          <w:szCs w:val="20"/>
          <w:lang w:val="en-US"/>
        </w:rPr>
        <w:t>r</w:t>
      </w:r>
      <w:r w:rsidRPr="006A79AD">
        <w:rPr>
          <w:rFonts w:cstheme="minorHAnsi"/>
          <w:sz w:val="20"/>
          <w:szCs w:val="20"/>
          <w:lang w:val="en-US"/>
        </w:rPr>
        <w:t xml:space="preserve">egulatory </w:t>
      </w:r>
      <w:r w:rsidR="00081777" w:rsidRPr="006A79AD">
        <w:rPr>
          <w:rFonts w:cstheme="minorHAnsi"/>
          <w:sz w:val="20"/>
          <w:szCs w:val="20"/>
          <w:lang w:val="en-US"/>
        </w:rPr>
        <w:t>a</w:t>
      </w:r>
      <w:r w:rsidRPr="006A79AD">
        <w:rPr>
          <w:rFonts w:cstheme="minorHAnsi"/>
          <w:sz w:val="20"/>
          <w:szCs w:val="20"/>
          <w:lang w:val="en-US"/>
        </w:rPr>
        <w:t>uthorities (hereafter referred to as the “</w:t>
      </w:r>
      <w:r w:rsidRPr="006A79AD">
        <w:rPr>
          <w:rFonts w:cstheme="minorHAnsi"/>
          <w:b/>
          <w:sz w:val="20"/>
          <w:szCs w:val="20"/>
          <w:lang w:val="en-US"/>
        </w:rPr>
        <w:t>NRAs</w:t>
      </w:r>
      <w:r w:rsidRPr="00655FF4">
        <w:rPr>
          <w:rFonts w:cstheme="minorHAnsi"/>
          <w:sz w:val="20"/>
          <w:szCs w:val="20"/>
          <w:lang w:val="en-US"/>
        </w:rPr>
        <w:t>”</w:t>
      </w:r>
      <w:r w:rsidRPr="00812957">
        <w:rPr>
          <w:rFonts w:cstheme="minorHAnsi"/>
          <w:sz w:val="20"/>
          <w:szCs w:val="20"/>
          <w:lang w:val="en-US"/>
        </w:rPr>
        <w:t xml:space="preserve">) of the </w:t>
      </w:r>
      <w:r w:rsidR="00997242" w:rsidRPr="006A79AD">
        <w:rPr>
          <w:rFonts w:cstheme="minorHAnsi"/>
          <w:sz w:val="20"/>
          <w:szCs w:val="20"/>
          <w:lang w:val="en-US"/>
        </w:rPr>
        <w:t xml:space="preserve">Baltic </w:t>
      </w:r>
      <w:r w:rsidR="0001314B" w:rsidRPr="006A79AD">
        <w:rPr>
          <w:rFonts w:cstheme="minorHAnsi"/>
          <w:sz w:val="20"/>
          <w:szCs w:val="20"/>
          <w:lang w:val="en-US"/>
        </w:rPr>
        <w:t>CCR</w:t>
      </w:r>
      <w:r w:rsidR="00997242" w:rsidRPr="006A79AD">
        <w:rPr>
          <w:rFonts w:cstheme="minorHAnsi"/>
          <w:sz w:val="20"/>
          <w:szCs w:val="20"/>
          <w:lang w:val="en-US"/>
        </w:rPr>
        <w:t>.</w:t>
      </w:r>
      <w:r w:rsidRPr="00812957">
        <w:rPr>
          <w:rFonts w:cstheme="minorHAnsi"/>
          <w:sz w:val="20"/>
          <w:szCs w:val="20"/>
          <w:lang w:val="en-US"/>
        </w:rPr>
        <w:t xml:space="preserve"> </w:t>
      </w:r>
    </w:p>
    <w:p w14:paraId="61A723E1" w14:textId="77777777" w:rsidR="00FD5B46" w:rsidRPr="00507F64" w:rsidRDefault="00FD5B46" w:rsidP="00FD5B46">
      <w:pPr>
        <w:spacing w:after="240" w:line="259" w:lineRule="auto"/>
        <w:ind w:left="720"/>
        <w:contextualSpacing/>
        <w:jc w:val="both"/>
        <w:rPr>
          <w:rFonts w:cstheme="minorHAnsi"/>
          <w:sz w:val="20"/>
          <w:szCs w:val="20"/>
          <w:lang w:val="en-US"/>
        </w:rPr>
      </w:pPr>
    </w:p>
    <w:p w14:paraId="64185863" w14:textId="357EFE31" w:rsidR="007C7052" w:rsidRPr="006A79AD" w:rsidRDefault="00507F64" w:rsidP="00FD5B46">
      <w:pPr>
        <w:numPr>
          <w:ilvl w:val="0"/>
          <w:numId w:val="5"/>
        </w:numPr>
        <w:spacing w:after="240" w:line="259" w:lineRule="auto"/>
        <w:ind w:hanging="357"/>
        <w:contextualSpacing/>
        <w:jc w:val="both"/>
        <w:rPr>
          <w:rFonts w:cstheme="minorHAnsi"/>
          <w:sz w:val="20"/>
          <w:szCs w:val="20"/>
          <w:lang w:val="en-US"/>
        </w:rPr>
      </w:pPr>
      <w:r>
        <w:rPr>
          <w:rFonts w:cstheme="minorHAnsi"/>
          <w:sz w:val="20"/>
          <w:szCs w:val="20"/>
          <w:lang w:val="en-US"/>
        </w:rPr>
        <w:t xml:space="preserve">The </w:t>
      </w:r>
      <w:r w:rsidR="00FD13B1" w:rsidRPr="00507F64">
        <w:rPr>
          <w:rFonts w:cstheme="minorHAnsi"/>
          <w:sz w:val="20"/>
          <w:szCs w:val="20"/>
          <w:lang w:val="en-US"/>
        </w:rPr>
        <w:t>TSOs understand that</w:t>
      </w:r>
      <w:r w:rsidR="00161070" w:rsidRPr="00866290">
        <w:rPr>
          <w:rFonts w:cstheme="minorHAnsi"/>
          <w:sz w:val="20"/>
          <w:szCs w:val="20"/>
          <w:lang w:val="en-US"/>
        </w:rPr>
        <w:t xml:space="preserve"> for the purposes of the a</w:t>
      </w:r>
      <w:r w:rsidR="00960938" w:rsidRPr="00866290">
        <w:rPr>
          <w:rFonts w:cstheme="minorHAnsi"/>
          <w:sz w:val="20"/>
          <w:szCs w:val="20"/>
          <w:lang w:val="en-US"/>
        </w:rPr>
        <w:t>pproval or the future amendment</w:t>
      </w:r>
      <w:r w:rsidR="00161070" w:rsidRPr="00866290">
        <w:rPr>
          <w:rFonts w:cstheme="minorHAnsi"/>
          <w:sz w:val="20"/>
          <w:szCs w:val="20"/>
          <w:lang w:val="en-US"/>
        </w:rPr>
        <w:t xml:space="preserve"> of </w:t>
      </w:r>
      <w:r w:rsidR="00567718">
        <w:rPr>
          <w:rFonts w:cstheme="minorHAnsi"/>
          <w:sz w:val="20"/>
          <w:szCs w:val="20"/>
          <w:lang w:val="en-US"/>
        </w:rPr>
        <w:t>B</w:t>
      </w:r>
      <w:r w:rsidR="00DC147F" w:rsidRPr="00866290">
        <w:rPr>
          <w:rFonts w:cstheme="minorHAnsi"/>
          <w:sz w:val="20"/>
          <w:szCs w:val="20"/>
          <w:lang w:val="en-US"/>
        </w:rPr>
        <w:t xml:space="preserve">idding </w:t>
      </w:r>
      <w:r w:rsidR="00567718">
        <w:rPr>
          <w:rFonts w:cstheme="minorHAnsi"/>
          <w:sz w:val="20"/>
          <w:szCs w:val="20"/>
          <w:lang w:val="en-US"/>
        </w:rPr>
        <w:t>Z</w:t>
      </w:r>
      <w:r w:rsidR="00DC147F" w:rsidRPr="00866290">
        <w:rPr>
          <w:rFonts w:cstheme="minorHAnsi"/>
          <w:sz w:val="20"/>
          <w:szCs w:val="20"/>
          <w:lang w:val="en-US"/>
        </w:rPr>
        <w:t>one border specific requirements</w:t>
      </w:r>
      <w:r w:rsidR="00401221" w:rsidRPr="00E771F1">
        <w:rPr>
          <w:rFonts w:cstheme="minorHAnsi"/>
          <w:sz w:val="20"/>
          <w:szCs w:val="20"/>
          <w:lang w:val="en-US"/>
        </w:rPr>
        <w:t xml:space="preserve"> of this </w:t>
      </w:r>
      <w:r w:rsidR="00DD5822" w:rsidRPr="006A79AD">
        <w:rPr>
          <w:rFonts w:cstheme="minorHAnsi"/>
          <w:sz w:val="20"/>
          <w:szCs w:val="20"/>
          <w:lang w:val="en-US"/>
        </w:rPr>
        <w:t>EE-LV Border Specific Annex</w:t>
      </w:r>
      <w:r w:rsidR="00161070" w:rsidRPr="006A79AD">
        <w:rPr>
          <w:rFonts w:cstheme="minorHAnsi"/>
          <w:sz w:val="20"/>
          <w:szCs w:val="20"/>
          <w:lang w:val="en-US"/>
        </w:rPr>
        <w:t xml:space="preserve">, only the NRAs </w:t>
      </w:r>
      <w:r w:rsidR="00BB0F63" w:rsidRPr="006A79AD">
        <w:rPr>
          <w:rFonts w:cstheme="minorHAnsi"/>
          <w:sz w:val="20"/>
          <w:szCs w:val="20"/>
          <w:lang w:val="en-US"/>
        </w:rPr>
        <w:t xml:space="preserve">of </w:t>
      </w:r>
      <w:r w:rsidR="00DC147F" w:rsidRPr="006A79AD">
        <w:rPr>
          <w:rFonts w:cstheme="minorHAnsi"/>
          <w:sz w:val="20"/>
          <w:szCs w:val="20"/>
          <w:lang w:val="en-US"/>
        </w:rPr>
        <w:t xml:space="preserve">the respective </w:t>
      </w:r>
      <w:r w:rsidR="00567718">
        <w:rPr>
          <w:rFonts w:cstheme="minorHAnsi"/>
          <w:sz w:val="20"/>
          <w:szCs w:val="20"/>
          <w:lang w:val="en-US"/>
        </w:rPr>
        <w:t>B</w:t>
      </w:r>
      <w:r w:rsidR="00DC147F" w:rsidRPr="006A79AD">
        <w:rPr>
          <w:rFonts w:cstheme="minorHAnsi"/>
          <w:sz w:val="20"/>
          <w:szCs w:val="20"/>
          <w:lang w:val="en-US"/>
        </w:rPr>
        <w:t xml:space="preserve">idding </w:t>
      </w:r>
      <w:r w:rsidR="00567718">
        <w:rPr>
          <w:rFonts w:cstheme="minorHAnsi"/>
          <w:sz w:val="20"/>
          <w:szCs w:val="20"/>
          <w:lang w:val="en-US"/>
        </w:rPr>
        <w:t>Z</w:t>
      </w:r>
      <w:r w:rsidR="00DC147F" w:rsidRPr="006A79AD">
        <w:rPr>
          <w:rFonts w:cstheme="minorHAnsi"/>
          <w:sz w:val="20"/>
          <w:szCs w:val="20"/>
          <w:lang w:val="en-US"/>
        </w:rPr>
        <w:t xml:space="preserve">one border </w:t>
      </w:r>
      <w:r w:rsidR="00161070" w:rsidRPr="006A79AD">
        <w:rPr>
          <w:rFonts w:cstheme="minorHAnsi"/>
          <w:sz w:val="20"/>
          <w:szCs w:val="20"/>
          <w:lang w:val="en-US"/>
        </w:rPr>
        <w:t>will have to state their explicit approval</w:t>
      </w:r>
      <w:r w:rsidR="003A67E9" w:rsidRPr="006A79AD">
        <w:rPr>
          <w:rFonts w:cstheme="minorHAnsi"/>
          <w:sz w:val="20"/>
          <w:szCs w:val="20"/>
          <w:lang w:val="en-US"/>
        </w:rPr>
        <w:t xml:space="preserve">. </w:t>
      </w:r>
      <w:r w:rsidR="00BB0F63" w:rsidRPr="006A79AD">
        <w:rPr>
          <w:rFonts w:cstheme="minorHAnsi"/>
          <w:sz w:val="20"/>
          <w:szCs w:val="20"/>
          <w:lang w:val="en-US"/>
        </w:rPr>
        <w:t>N</w:t>
      </w:r>
      <w:r w:rsidR="00B5799F" w:rsidRPr="006A79AD">
        <w:rPr>
          <w:rFonts w:cstheme="minorHAnsi"/>
          <w:sz w:val="20"/>
          <w:szCs w:val="20"/>
          <w:lang w:val="en-US"/>
        </w:rPr>
        <w:t xml:space="preserve">on-concerned </w:t>
      </w:r>
      <w:r w:rsidR="00C362D9" w:rsidRPr="006A79AD">
        <w:rPr>
          <w:rFonts w:cstheme="minorHAnsi"/>
          <w:sz w:val="20"/>
          <w:szCs w:val="20"/>
          <w:lang w:val="en-US"/>
        </w:rPr>
        <w:t xml:space="preserve">NRAs </w:t>
      </w:r>
      <w:r w:rsidR="00BB0F63" w:rsidRPr="006A79AD">
        <w:rPr>
          <w:rFonts w:cstheme="minorHAnsi"/>
          <w:sz w:val="20"/>
          <w:szCs w:val="20"/>
          <w:lang w:val="en-US"/>
        </w:rPr>
        <w:t xml:space="preserve">of the </w:t>
      </w:r>
      <w:r w:rsidR="0001314B" w:rsidRPr="006A79AD">
        <w:rPr>
          <w:rFonts w:cstheme="minorHAnsi"/>
          <w:sz w:val="20"/>
          <w:szCs w:val="20"/>
          <w:lang w:val="en-US"/>
        </w:rPr>
        <w:t>Baltic CCR</w:t>
      </w:r>
      <w:r w:rsidR="00BB0F63" w:rsidRPr="006A79AD">
        <w:rPr>
          <w:rFonts w:cstheme="minorHAnsi"/>
          <w:sz w:val="20"/>
          <w:szCs w:val="20"/>
          <w:lang w:val="en-US"/>
        </w:rPr>
        <w:t xml:space="preserve"> </w:t>
      </w:r>
      <w:r w:rsidR="00401221" w:rsidRPr="006A79AD">
        <w:rPr>
          <w:rFonts w:cstheme="minorHAnsi"/>
          <w:sz w:val="20"/>
          <w:szCs w:val="20"/>
          <w:lang w:val="en-US"/>
        </w:rPr>
        <w:t>will be duly informed.</w:t>
      </w:r>
      <w:r w:rsidR="00DD5822" w:rsidRPr="006A79AD">
        <w:rPr>
          <w:rFonts w:cstheme="minorHAnsi"/>
          <w:sz w:val="20"/>
          <w:szCs w:val="20"/>
          <w:lang w:val="en-US"/>
        </w:rPr>
        <w:t xml:space="preserve"> </w:t>
      </w:r>
      <w:r w:rsidR="00401221" w:rsidRPr="006A79AD">
        <w:rPr>
          <w:rFonts w:cstheme="minorHAnsi"/>
          <w:sz w:val="20"/>
          <w:szCs w:val="20"/>
          <w:lang w:val="en-US"/>
        </w:rPr>
        <w:t xml:space="preserve"> </w:t>
      </w:r>
    </w:p>
    <w:p w14:paraId="1503AC27" w14:textId="77777777" w:rsidR="006A4DF4" w:rsidRPr="006A79AD" w:rsidRDefault="006A4DF4" w:rsidP="006A4DF4">
      <w:pPr>
        <w:spacing w:after="120" w:line="259" w:lineRule="auto"/>
        <w:ind w:left="720"/>
        <w:contextualSpacing/>
        <w:jc w:val="both"/>
        <w:rPr>
          <w:rFonts w:cstheme="minorHAnsi"/>
          <w:sz w:val="20"/>
          <w:szCs w:val="20"/>
          <w:lang w:val="en-US"/>
        </w:rPr>
      </w:pPr>
    </w:p>
    <w:p w14:paraId="48F01402" w14:textId="32398011" w:rsidR="007C7052" w:rsidRPr="006A79AD" w:rsidRDefault="007C7052" w:rsidP="007C7052">
      <w:pPr>
        <w:spacing w:after="120"/>
        <w:jc w:val="both"/>
        <w:rPr>
          <w:rFonts w:cstheme="minorHAnsi"/>
          <w:b/>
          <w:sz w:val="20"/>
          <w:szCs w:val="20"/>
          <w:lang w:val="en-US"/>
        </w:rPr>
      </w:pPr>
      <w:r w:rsidRPr="006A79AD">
        <w:rPr>
          <w:rFonts w:cstheme="minorHAnsi"/>
          <w:b/>
          <w:sz w:val="20"/>
          <w:szCs w:val="20"/>
          <w:lang w:val="en-US"/>
        </w:rPr>
        <w:t xml:space="preserve">SUBMIT THE FOLLOWING </w:t>
      </w:r>
      <w:r w:rsidR="0001314B" w:rsidRPr="006A79AD">
        <w:rPr>
          <w:rFonts w:cstheme="minorHAnsi"/>
          <w:b/>
          <w:sz w:val="20"/>
          <w:szCs w:val="20"/>
          <w:lang w:val="en-US"/>
        </w:rPr>
        <w:t xml:space="preserve">EE-LV BORDER SPECIFIC ANNEX </w:t>
      </w:r>
      <w:r w:rsidRPr="006A79AD">
        <w:rPr>
          <w:rFonts w:cstheme="minorHAnsi"/>
          <w:b/>
          <w:sz w:val="20"/>
          <w:szCs w:val="20"/>
          <w:lang w:val="en-US"/>
        </w:rPr>
        <w:t xml:space="preserve">PROPOSAL TO </w:t>
      </w:r>
      <w:r w:rsidR="0001314B" w:rsidRPr="006A79AD">
        <w:rPr>
          <w:rFonts w:cstheme="minorHAnsi"/>
          <w:b/>
          <w:sz w:val="20"/>
          <w:szCs w:val="20"/>
          <w:lang w:val="en-US"/>
        </w:rPr>
        <w:t>THE RELEVANT BA</w:t>
      </w:r>
      <w:r w:rsidR="00DD5822" w:rsidRPr="006A79AD">
        <w:rPr>
          <w:rFonts w:cstheme="minorHAnsi"/>
          <w:b/>
          <w:sz w:val="20"/>
          <w:szCs w:val="20"/>
          <w:lang w:val="en-US"/>
        </w:rPr>
        <w:t>L</w:t>
      </w:r>
      <w:r w:rsidR="0001314B" w:rsidRPr="006A79AD">
        <w:rPr>
          <w:rFonts w:cstheme="minorHAnsi"/>
          <w:b/>
          <w:sz w:val="20"/>
          <w:szCs w:val="20"/>
          <w:lang w:val="en-US"/>
        </w:rPr>
        <w:t>TIC CCR NRAs</w:t>
      </w:r>
      <w:r w:rsidRPr="006A79AD">
        <w:rPr>
          <w:rFonts w:cstheme="minorHAnsi"/>
          <w:b/>
          <w:sz w:val="20"/>
          <w:szCs w:val="20"/>
          <w:lang w:val="en-US"/>
        </w:rPr>
        <w:t>:</w:t>
      </w:r>
    </w:p>
    <w:p w14:paraId="3D3C6146" w14:textId="77777777" w:rsidR="0064345A" w:rsidRPr="006A79AD" w:rsidRDefault="0064345A">
      <w:pPr>
        <w:rPr>
          <w:rFonts w:cstheme="minorHAnsi"/>
          <w:sz w:val="20"/>
          <w:szCs w:val="20"/>
          <w:lang w:val="en-US"/>
        </w:rPr>
      </w:pPr>
      <w:r w:rsidRPr="006A79AD">
        <w:rPr>
          <w:rFonts w:cstheme="minorHAnsi"/>
          <w:sz w:val="20"/>
          <w:szCs w:val="20"/>
          <w:lang w:val="en-US"/>
        </w:rPr>
        <w:br w:type="page"/>
      </w:r>
    </w:p>
    <w:p w14:paraId="506C9E62" w14:textId="77777777" w:rsidR="0064345A" w:rsidRPr="006A79AD" w:rsidRDefault="0064345A" w:rsidP="00B5799F">
      <w:pPr>
        <w:spacing w:before="400" w:after="120" w:line="340" w:lineRule="exact"/>
        <w:jc w:val="center"/>
        <w:outlineLvl w:val="0"/>
        <w:rPr>
          <w:rFonts w:cstheme="minorHAnsi"/>
          <w:b/>
          <w:color w:val="23236E" w:themeColor="text2"/>
          <w:sz w:val="20"/>
          <w:szCs w:val="20"/>
          <w:lang w:val="en-US"/>
        </w:rPr>
      </w:pPr>
      <w:r w:rsidRPr="006A79AD">
        <w:rPr>
          <w:rFonts w:cstheme="minorHAnsi"/>
          <w:b/>
          <w:color w:val="23236E" w:themeColor="text2"/>
          <w:sz w:val="20"/>
          <w:szCs w:val="20"/>
          <w:lang w:val="en-US"/>
        </w:rPr>
        <w:lastRenderedPageBreak/>
        <w:t xml:space="preserve">TITLE </w:t>
      </w:r>
      <w:proofErr w:type="gramStart"/>
      <w:r w:rsidRPr="006A79AD">
        <w:rPr>
          <w:rFonts w:cstheme="minorHAnsi"/>
          <w:b/>
          <w:color w:val="23236E" w:themeColor="text2"/>
          <w:sz w:val="20"/>
          <w:szCs w:val="20"/>
          <w:lang w:val="en-US"/>
        </w:rPr>
        <w:t>1</w:t>
      </w:r>
      <w:proofErr w:type="gramEnd"/>
      <w:r w:rsidRPr="006A79AD">
        <w:rPr>
          <w:rFonts w:cstheme="minorHAnsi"/>
          <w:b/>
          <w:color w:val="23236E" w:themeColor="text2"/>
          <w:sz w:val="20"/>
          <w:szCs w:val="20"/>
          <w:lang w:val="en-US"/>
        </w:rPr>
        <w:t xml:space="preserve"> </w:t>
      </w:r>
      <w:r w:rsidRPr="006A79AD">
        <w:rPr>
          <w:rFonts w:cstheme="minorHAnsi"/>
          <w:b/>
          <w:color w:val="23236E" w:themeColor="text2"/>
          <w:sz w:val="20"/>
          <w:szCs w:val="20"/>
          <w:lang w:val="en-US"/>
        </w:rPr>
        <w:br/>
      </w:r>
      <w:r w:rsidR="00B5799F" w:rsidRPr="006A79AD">
        <w:rPr>
          <w:rFonts w:cstheme="minorHAnsi"/>
          <w:b/>
          <w:color w:val="23236E" w:themeColor="text2"/>
          <w:sz w:val="20"/>
          <w:szCs w:val="20"/>
          <w:lang w:val="en-US"/>
        </w:rPr>
        <w:t>General provisions</w:t>
      </w:r>
    </w:p>
    <w:p w14:paraId="7204FB47" w14:textId="77777777" w:rsidR="00FD5B46" w:rsidRPr="006A79AD" w:rsidRDefault="00FD5B46" w:rsidP="0064345A">
      <w:pPr>
        <w:spacing w:after="120" w:line="260" w:lineRule="exact"/>
        <w:jc w:val="center"/>
        <w:outlineLvl w:val="1"/>
        <w:rPr>
          <w:rFonts w:cstheme="minorHAnsi"/>
          <w:b/>
          <w:color w:val="23236E" w:themeColor="text2"/>
          <w:sz w:val="20"/>
          <w:szCs w:val="20"/>
          <w:lang w:val="en-US"/>
        </w:rPr>
      </w:pPr>
      <w:bookmarkStart w:id="1" w:name="_Toc432586769"/>
      <w:bookmarkStart w:id="2" w:name="_Toc432586789"/>
      <w:bookmarkStart w:id="3" w:name="_Toc434227405"/>
      <w:bookmarkStart w:id="4" w:name="_Toc434343196"/>
    </w:p>
    <w:p w14:paraId="4428BF4A" w14:textId="77777777" w:rsidR="0064345A" w:rsidRPr="006A79AD" w:rsidRDefault="0064345A" w:rsidP="0064345A">
      <w:pPr>
        <w:spacing w:after="120" w:line="260" w:lineRule="exact"/>
        <w:jc w:val="center"/>
        <w:outlineLvl w:val="1"/>
        <w:rPr>
          <w:rFonts w:cstheme="minorHAnsi"/>
          <w:b/>
          <w:color w:val="23236E" w:themeColor="text2"/>
          <w:sz w:val="20"/>
          <w:szCs w:val="20"/>
          <w:lang w:val="en-US"/>
        </w:rPr>
      </w:pPr>
      <w:r w:rsidRPr="006A79AD">
        <w:rPr>
          <w:rFonts w:cstheme="minorHAnsi"/>
          <w:b/>
          <w:color w:val="23236E" w:themeColor="text2"/>
          <w:sz w:val="20"/>
          <w:szCs w:val="20"/>
          <w:lang w:val="en-US"/>
        </w:rPr>
        <w:t xml:space="preserve">Article </w:t>
      </w:r>
      <w:proofErr w:type="gramStart"/>
      <w:r w:rsidRPr="006A79AD">
        <w:rPr>
          <w:rFonts w:cstheme="minorHAnsi"/>
          <w:b/>
          <w:color w:val="23236E" w:themeColor="text2"/>
          <w:sz w:val="20"/>
          <w:szCs w:val="20"/>
          <w:lang w:val="en-US"/>
        </w:rPr>
        <w:t>1</w:t>
      </w:r>
      <w:proofErr w:type="gramEnd"/>
      <w:r w:rsidRPr="006A79AD">
        <w:rPr>
          <w:rFonts w:cstheme="minorHAnsi"/>
          <w:b/>
          <w:color w:val="23236E" w:themeColor="text2"/>
          <w:sz w:val="20"/>
          <w:szCs w:val="20"/>
          <w:lang w:val="en-US"/>
        </w:rPr>
        <w:br/>
      </w:r>
      <w:bookmarkEnd w:id="1"/>
      <w:bookmarkEnd w:id="2"/>
      <w:bookmarkEnd w:id="3"/>
      <w:bookmarkEnd w:id="4"/>
      <w:r w:rsidR="00B5799F" w:rsidRPr="006A79AD">
        <w:rPr>
          <w:rFonts w:cstheme="minorHAnsi"/>
          <w:b/>
          <w:color w:val="23236E" w:themeColor="text2"/>
          <w:sz w:val="20"/>
          <w:szCs w:val="20"/>
          <w:lang w:val="en-US"/>
        </w:rPr>
        <w:t>Subject matter and scope</w:t>
      </w:r>
      <w:r w:rsidRPr="006A79AD">
        <w:rPr>
          <w:rFonts w:cstheme="minorHAnsi"/>
          <w:b/>
          <w:color w:val="23236E" w:themeColor="text2"/>
          <w:sz w:val="20"/>
          <w:szCs w:val="20"/>
          <w:lang w:val="en-US"/>
        </w:rPr>
        <w:t xml:space="preserve"> </w:t>
      </w:r>
    </w:p>
    <w:p w14:paraId="6A3F5452" w14:textId="504466FA" w:rsidR="00622D42" w:rsidRPr="006A79AD" w:rsidRDefault="00A37790" w:rsidP="005E0955">
      <w:pPr>
        <w:pStyle w:val="ListParagraph"/>
        <w:numPr>
          <w:ilvl w:val="0"/>
          <w:numId w:val="6"/>
        </w:numPr>
        <w:ind w:left="426" w:hanging="426"/>
        <w:rPr>
          <w:rFonts w:asciiTheme="minorHAnsi" w:hAnsiTheme="minorHAnsi" w:cstheme="minorHAnsi"/>
          <w:sz w:val="20"/>
          <w:szCs w:val="20"/>
          <w:lang w:val="en-US"/>
        </w:rPr>
      </w:pPr>
      <w:r w:rsidRPr="006A79AD">
        <w:rPr>
          <w:rFonts w:asciiTheme="minorHAnsi" w:hAnsiTheme="minorHAnsi" w:cstheme="minorHAnsi"/>
          <w:sz w:val="20"/>
          <w:szCs w:val="20"/>
          <w:lang w:val="en-US"/>
        </w:rPr>
        <w:t>In accordance with Article 4</w:t>
      </w:r>
      <w:r w:rsidR="008E6BFB" w:rsidRPr="006A79AD">
        <w:rPr>
          <w:rFonts w:asciiTheme="minorHAnsi" w:hAnsiTheme="minorHAnsi" w:cstheme="minorHAnsi"/>
          <w:sz w:val="20"/>
          <w:szCs w:val="20"/>
          <w:lang w:val="en-US"/>
        </w:rPr>
        <w:t>(7</w:t>
      </w:r>
      <w:proofErr w:type="gramStart"/>
      <w:r w:rsidR="008E6BFB" w:rsidRPr="006A79AD">
        <w:rPr>
          <w:rFonts w:asciiTheme="minorHAnsi" w:hAnsiTheme="minorHAnsi" w:cstheme="minorHAnsi"/>
          <w:sz w:val="20"/>
          <w:szCs w:val="20"/>
          <w:lang w:val="en-US"/>
        </w:rPr>
        <w:t>)</w:t>
      </w:r>
      <w:r w:rsidR="005E0955" w:rsidRPr="006A79AD">
        <w:rPr>
          <w:rFonts w:asciiTheme="minorHAnsi" w:hAnsiTheme="minorHAnsi" w:cstheme="minorHAnsi"/>
          <w:sz w:val="20"/>
          <w:szCs w:val="20"/>
          <w:lang w:val="en-US"/>
        </w:rPr>
        <w:t>(</w:t>
      </w:r>
      <w:proofErr w:type="gramEnd"/>
      <w:r w:rsidR="005E0955" w:rsidRPr="006A79AD">
        <w:rPr>
          <w:rFonts w:asciiTheme="minorHAnsi" w:hAnsiTheme="minorHAnsi" w:cstheme="minorHAnsi"/>
          <w:sz w:val="20"/>
          <w:szCs w:val="20"/>
          <w:lang w:val="en-US"/>
        </w:rPr>
        <w:t>e)</w:t>
      </w:r>
      <w:r w:rsidRPr="006A79AD">
        <w:rPr>
          <w:rFonts w:asciiTheme="minorHAnsi" w:hAnsiTheme="minorHAnsi" w:cstheme="minorHAnsi"/>
          <w:sz w:val="20"/>
          <w:szCs w:val="20"/>
          <w:lang w:val="en-US"/>
        </w:rPr>
        <w:t xml:space="preserve"> </w:t>
      </w:r>
      <w:r w:rsidR="008E6BFB" w:rsidRPr="006A79AD">
        <w:rPr>
          <w:rFonts w:asciiTheme="minorHAnsi" w:hAnsiTheme="minorHAnsi" w:cstheme="minorHAnsi"/>
          <w:sz w:val="20"/>
          <w:szCs w:val="20"/>
          <w:lang w:val="en-US"/>
        </w:rPr>
        <w:t xml:space="preserve">and </w:t>
      </w:r>
      <w:r w:rsidR="00CF298C">
        <w:rPr>
          <w:rFonts w:asciiTheme="minorHAnsi" w:hAnsiTheme="minorHAnsi" w:cstheme="minorHAnsi"/>
          <w:sz w:val="20"/>
          <w:szCs w:val="20"/>
          <w:lang w:val="en-US"/>
        </w:rPr>
        <w:t xml:space="preserve">Article </w:t>
      </w:r>
      <w:r w:rsidR="008E6BFB" w:rsidRPr="006A79AD">
        <w:rPr>
          <w:rFonts w:asciiTheme="minorHAnsi" w:hAnsiTheme="minorHAnsi" w:cstheme="minorHAnsi"/>
          <w:sz w:val="20"/>
          <w:szCs w:val="20"/>
          <w:lang w:val="en-US"/>
        </w:rPr>
        <w:t xml:space="preserve">52(3) </w:t>
      </w:r>
      <w:r w:rsidRPr="006A79AD">
        <w:rPr>
          <w:rFonts w:asciiTheme="minorHAnsi" w:hAnsiTheme="minorHAnsi" w:cstheme="minorHAnsi"/>
          <w:sz w:val="20"/>
          <w:szCs w:val="20"/>
          <w:lang w:val="en-US"/>
        </w:rPr>
        <w:t xml:space="preserve">of the </w:t>
      </w:r>
      <w:r w:rsidR="005E0955" w:rsidRPr="006A79AD">
        <w:rPr>
          <w:rFonts w:asciiTheme="minorHAnsi" w:hAnsiTheme="minorHAnsi" w:cstheme="minorHAnsi"/>
          <w:sz w:val="20"/>
          <w:szCs w:val="20"/>
          <w:lang w:val="en-US"/>
        </w:rPr>
        <w:t>FCA Regulation</w:t>
      </w:r>
      <w:r w:rsidRPr="006A79AD">
        <w:rPr>
          <w:rFonts w:asciiTheme="minorHAnsi" w:hAnsiTheme="minorHAnsi" w:cstheme="minorHAnsi"/>
          <w:sz w:val="20"/>
          <w:szCs w:val="20"/>
          <w:lang w:val="en-US"/>
        </w:rPr>
        <w:t xml:space="preserve"> regional or </w:t>
      </w:r>
      <w:r w:rsidR="006A79AD">
        <w:rPr>
          <w:rFonts w:asciiTheme="minorHAnsi" w:hAnsiTheme="minorHAnsi" w:cstheme="minorHAnsi"/>
          <w:sz w:val="20"/>
          <w:szCs w:val="20"/>
          <w:lang w:val="en-US"/>
        </w:rPr>
        <w:t>B</w:t>
      </w:r>
      <w:r w:rsidR="008E6BFB" w:rsidRPr="006A79AD">
        <w:rPr>
          <w:rFonts w:asciiTheme="minorHAnsi" w:hAnsiTheme="minorHAnsi" w:cstheme="minorHAnsi"/>
          <w:sz w:val="20"/>
          <w:szCs w:val="20"/>
          <w:lang w:val="en-US"/>
        </w:rPr>
        <w:t xml:space="preserve">idding </w:t>
      </w:r>
      <w:r w:rsidR="006A79AD">
        <w:rPr>
          <w:rFonts w:asciiTheme="minorHAnsi" w:hAnsiTheme="minorHAnsi" w:cstheme="minorHAnsi"/>
          <w:sz w:val="20"/>
          <w:szCs w:val="20"/>
          <w:lang w:val="en-US"/>
        </w:rPr>
        <w:t>Z</w:t>
      </w:r>
      <w:r w:rsidR="008E6BFB" w:rsidRPr="006A79AD">
        <w:rPr>
          <w:rFonts w:asciiTheme="minorHAnsi" w:hAnsiTheme="minorHAnsi" w:cstheme="minorHAnsi"/>
          <w:sz w:val="20"/>
          <w:szCs w:val="20"/>
          <w:lang w:val="en-US"/>
        </w:rPr>
        <w:t xml:space="preserve">one </w:t>
      </w:r>
      <w:r w:rsidRPr="006A79AD">
        <w:rPr>
          <w:rFonts w:asciiTheme="minorHAnsi" w:hAnsiTheme="minorHAnsi" w:cstheme="minorHAnsi"/>
          <w:sz w:val="20"/>
          <w:szCs w:val="20"/>
          <w:lang w:val="en-US"/>
        </w:rPr>
        <w:t>border specific</w:t>
      </w:r>
      <w:r w:rsidR="008E6BFB" w:rsidRPr="006A79AD">
        <w:rPr>
          <w:rFonts w:asciiTheme="minorHAnsi" w:hAnsiTheme="minorHAnsi" w:cstheme="minorHAnsi"/>
          <w:sz w:val="20"/>
          <w:szCs w:val="20"/>
          <w:lang w:val="en-US"/>
        </w:rPr>
        <w:t xml:space="preserve"> requirements</w:t>
      </w:r>
      <w:r w:rsidRPr="006A79AD">
        <w:rPr>
          <w:rFonts w:asciiTheme="minorHAnsi" w:hAnsiTheme="minorHAnsi" w:cstheme="minorHAnsi"/>
          <w:sz w:val="20"/>
          <w:szCs w:val="20"/>
          <w:lang w:val="en-US"/>
        </w:rPr>
        <w:t xml:space="preserve"> may be introduced for one or more </w:t>
      </w:r>
      <w:r w:rsidR="005E0955" w:rsidRPr="006A79AD">
        <w:rPr>
          <w:rFonts w:asciiTheme="minorHAnsi" w:hAnsiTheme="minorHAnsi" w:cstheme="minorHAnsi"/>
          <w:sz w:val="20"/>
          <w:szCs w:val="20"/>
          <w:lang w:val="en-US"/>
        </w:rPr>
        <w:t>b</w:t>
      </w:r>
      <w:r w:rsidRPr="006A79AD">
        <w:rPr>
          <w:rFonts w:asciiTheme="minorHAnsi" w:hAnsiTheme="minorHAnsi" w:cstheme="minorHAnsi"/>
          <w:sz w:val="20"/>
          <w:szCs w:val="20"/>
          <w:lang w:val="en-US"/>
        </w:rPr>
        <w:t xml:space="preserve">idding </w:t>
      </w:r>
      <w:r w:rsidR="005E0955" w:rsidRPr="006A79AD">
        <w:rPr>
          <w:rFonts w:asciiTheme="minorHAnsi" w:hAnsiTheme="minorHAnsi" w:cstheme="minorHAnsi"/>
          <w:sz w:val="20"/>
          <w:szCs w:val="20"/>
          <w:lang w:val="en-US"/>
        </w:rPr>
        <w:t>z</w:t>
      </w:r>
      <w:r w:rsidRPr="006A79AD">
        <w:rPr>
          <w:rFonts w:asciiTheme="minorHAnsi" w:hAnsiTheme="minorHAnsi" w:cstheme="minorHAnsi"/>
          <w:sz w:val="20"/>
          <w:szCs w:val="20"/>
          <w:lang w:val="en-US"/>
        </w:rPr>
        <w:t xml:space="preserve">one borders. This </w:t>
      </w:r>
      <w:r w:rsidR="005E0955" w:rsidRPr="00655FF4">
        <w:rPr>
          <w:rFonts w:asciiTheme="minorHAnsi" w:hAnsiTheme="minorHAnsi" w:cstheme="minorHAnsi"/>
          <w:sz w:val="20"/>
          <w:szCs w:val="20"/>
          <w:lang w:val="en-US"/>
        </w:rPr>
        <w:t>EE-LV Border Specific Annex</w:t>
      </w:r>
      <w:r w:rsidR="008E6BFB" w:rsidRPr="006A79AD">
        <w:rPr>
          <w:rFonts w:asciiTheme="minorHAnsi" w:hAnsiTheme="minorHAnsi" w:cstheme="minorHAnsi"/>
          <w:sz w:val="20"/>
          <w:szCs w:val="20"/>
          <w:lang w:val="en-US"/>
        </w:rPr>
        <w:t xml:space="preserve"> </w:t>
      </w:r>
      <w:r w:rsidRPr="006A79AD">
        <w:rPr>
          <w:rFonts w:asciiTheme="minorHAnsi" w:hAnsiTheme="minorHAnsi" w:cstheme="minorHAnsi"/>
          <w:sz w:val="20"/>
          <w:szCs w:val="20"/>
          <w:lang w:val="en-US"/>
        </w:rPr>
        <w:t xml:space="preserve">applies to the </w:t>
      </w:r>
      <w:r w:rsidR="006D0786" w:rsidRPr="006A79AD">
        <w:rPr>
          <w:rFonts w:asciiTheme="minorHAnsi" w:hAnsiTheme="minorHAnsi" w:cstheme="minorHAnsi"/>
          <w:sz w:val="20"/>
          <w:szCs w:val="20"/>
          <w:lang w:val="en-US"/>
        </w:rPr>
        <w:t xml:space="preserve">Baltic </w:t>
      </w:r>
      <w:r w:rsidR="008E6BFB" w:rsidRPr="006A79AD">
        <w:rPr>
          <w:rFonts w:asciiTheme="minorHAnsi" w:hAnsiTheme="minorHAnsi" w:cstheme="minorHAnsi"/>
          <w:sz w:val="20"/>
          <w:szCs w:val="20"/>
          <w:lang w:val="en-US"/>
        </w:rPr>
        <w:t xml:space="preserve">CCR Estonia-Latvia </w:t>
      </w:r>
      <w:r w:rsidR="00FA1158">
        <w:rPr>
          <w:rFonts w:asciiTheme="minorHAnsi" w:hAnsiTheme="minorHAnsi" w:cstheme="minorHAnsi"/>
          <w:sz w:val="20"/>
          <w:szCs w:val="20"/>
          <w:lang w:val="en-US"/>
        </w:rPr>
        <w:t>B</w:t>
      </w:r>
      <w:r w:rsidR="008E6BFB" w:rsidRPr="006A79AD">
        <w:rPr>
          <w:rFonts w:asciiTheme="minorHAnsi" w:hAnsiTheme="minorHAnsi" w:cstheme="minorHAnsi"/>
          <w:sz w:val="20"/>
          <w:szCs w:val="20"/>
          <w:lang w:val="en-US"/>
        </w:rPr>
        <w:t xml:space="preserve">idding </w:t>
      </w:r>
      <w:r w:rsidR="00FA1158">
        <w:rPr>
          <w:rFonts w:asciiTheme="minorHAnsi" w:hAnsiTheme="minorHAnsi" w:cstheme="minorHAnsi"/>
          <w:sz w:val="20"/>
          <w:szCs w:val="20"/>
          <w:lang w:val="en-US"/>
        </w:rPr>
        <w:t>Z</w:t>
      </w:r>
      <w:r w:rsidR="008E6BFB" w:rsidRPr="006A79AD">
        <w:rPr>
          <w:rFonts w:asciiTheme="minorHAnsi" w:hAnsiTheme="minorHAnsi" w:cstheme="minorHAnsi"/>
          <w:sz w:val="20"/>
          <w:szCs w:val="20"/>
          <w:lang w:val="en-US"/>
        </w:rPr>
        <w:t xml:space="preserve">one </w:t>
      </w:r>
      <w:r w:rsidR="005E0955" w:rsidRPr="006A79AD">
        <w:rPr>
          <w:rFonts w:asciiTheme="minorHAnsi" w:hAnsiTheme="minorHAnsi" w:cstheme="minorHAnsi"/>
          <w:sz w:val="20"/>
          <w:szCs w:val="20"/>
          <w:lang w:val="en-US"/>
        </w:rPr>
        <w:t>b</w:t>
      </w:r>
      <w:r w:rsidR="008E6BFB" w:rsidRPr="006A79AD">
        <w:rPr>
          <w:rFonts w:asciiTheme="minorHAnsi" w:hAnsiTheme="minorHAnsi" w:cstheme="minorHAnsi"/>
          <w:sz w:val="20"/>
          <w:szCs w:val="20"/>
          <w:lang w:val="en-US"/>
        </w:rPr>
        <w:t>order</w:t>
      </w:r>
      <w:r w:rsidRPr="006A79AD">
        <w:rPr>
          <w:rFonts w:asciiTheme="minorHAnsi" w:hAnsiTheme="minorHAnsi" w:cstheme="minorHAnsi"/>
          <w:sz w:val="20"/>
          <w:szCs w:val="20"/>
          <w:lang w:val="en-US"/>
        </w:rPr>
        <w:t>.</w:t>
      </w:r>
    </w:p>
    <w:p w14:paraId="1A92B0D9" w14:textId="1EFC4FA9" w:rsidR="00A37790" w:rsidRPr="006A79AD" w:rsidRDefault="00A37790" w:rsidP="005E0955">
      <w:pPr>
        <w:pStyle w:val="ListParagraph"/>
        <w:numPr>
          <w:ilvl w:val="0"/>
          <w:numId w:val="6"/>
        </w:numPr>
        <w:ind w:left="426" w:hanging="426"/>
        <w:rPr>
          <w:rFonts w:asciiTheme="minorHAnsi" w:hAnsiTheme="minorHAnsi" w:cstheme="minorHAnsi"/>
          <w:sz w:val="20"/>
          <w:szCs w:val="20"/>
          <w:lang w:val="en-US"/>
        </w:rPr>
      </w:pPr>
      <w:r w:rsidRPr="006A79AD">
        <w:rPr>
          <w:rFonts w:asciiTheme="minorHAnsi" w:hAnsiTheme="minorHAnsi" w:cstheme="minorHAnsi"/>
          <w:sz w:val="20"/>
          <w:szCs w:val="20"/>
          <w:lang w:val="en-US"/>
        </w:rPr>
        <w:t xml:space="preserve">The provisions of the </w:t>
      </w:r>
      <w:r w:rsidR="00513000" w:rsidRPr="006A79AD">
        <w:rPr>
          <w:rFonts w:asciiTheme="minorHAnsi" w:hAnsiTheme="minorHAnsi" w:cstheme="minorHAnsi"/>
          <w:sz w:val="20"/>
          <w:szCs w:val="20"/>
          <w:lang w:val="en-US"/>
        </w:rPr>
        <w:t>HAR</w:t>
      </w:r>
      <w:r w:rsidRPr="006A79AD">
        <w:rPr>
          <w:rFonts w:asciiTheme="minorHAnsi" w:hAnsiTheme="minorHAnsi" w:cstheme="minorHAnsi"/>
          <w:sz w:val="20"/>
          <w:szCs w:val="20"/>
          <w:lang w:val="en-US"/>
        </w:rPr>
        <w:t xml:space="preserve"> are applicable to the border Estonia – Latvia to the extent they do not contradict to this </w:t>
      </w:r>
      <w:r w:rsidR="008E6BFB" w:rsidRPr="006A79AD">
        <w:rPr>
          <w:rFonts w:asciiTheme="minorHAnsi" w:hAnsiTheme="minorHAnsi" w:cstheme="minorHAnsi"/>
          <w:sz w:val="20"/>
          <w:szCs w:val="20"/>
          <w:lang w:val="en-US"/>
        </w:rPr>
        <w:t xml:space="preserve">EE-LV Border Specific </w:t>
      </w:r>
      <w:r w:rsidRPr="006A79AD">
        <w:rPr>
          <w:rFonts w:asciiTheme="minorHAnsi" w:hAnsiTheme="minorHAnsi" w:cstheme="minorHAnsi"/>
          <w:sz w:val="20"/>
          <w:szCs w:val="20"/>
          <w:lang w:val="en-US"/>
        </w:rPr>
        <w:t xml:space="preserve">Annex. For the avoidance of doubt, Article </w:t>
      </w:r>
      <w:r w:rsidR="006F371E" w:rsidRPr="006A79AD">
        <w:rPr>
          <w:rFonts w:asciiTheme="minorHAnsi" w:hAnsiTheme="minorHAnsi" w:cstheme="minorHAnsi"/>
          <w:sz w:val="20"/>
          <w:szCs w:val="20"/>
          <w:lang w:val="en-US"/>
        </w:rPr>
        <w:t xml:space="preserve">6 </w:t>
      </w:r>
      <w:r w:rsidRPr="006A79AD">
        <w:rPr>
          <w:rFonts w:asciiTheme="minorHAnsi" w:hAnsiTheme="minorHAnsi" w:cstheme="minorHAnsi"/>
          <w:sz w:val="20"/>
          <w:szCs w:val="20"/>
          <w:lang w:val="en-US"/>
        </w:rPr>
        <w:t xml:space="preserve">of this </w:t>
      </w:r>
      <w:r w:rsidR="008E6BFB" w:rsidRPr="006A79AD">
        <w:rPr>
          <w:rFonts w:asciiTheme="minorHAnsi" w:hAnsiTheme="minorHAnsi" w:cstheme="minorHAnsi"/>
          <w:sz w:val="20"/>
          <w:szCs w:val="20"/>
          <w:lang w:val="en-US"/>
        </w:rPr>
        <w:t xml:space="preserve">EE-LV Border Specific </w:t>
      </w:r>
      <w:r w:rsidRPr="006A79AD">
        <w:rPr>
          <w:rFonts w:asciiTheme="minorHAnsi" w:hAnsiTheme="minorHAnsi" w:cstheme="minorHAnsi"/>
          <w:sz w:val="20"/>
          <w:szCs w:val="20"/>
          <w:lang w:val="en-US"/>
        </w:rPr>
        <w:t>Annex explicitly stipulate</w:t>
      </w:r>
      <w:r w:rsidR="00D96E59" w:rsidRPr="006A79AD">
        <w:rPr>
          <w:rFonts w:asciiTheme="minorHAnsi" w:hAnsiTheme="minorHAnsi" w:cstheme="minorHAnsi"/>
          <w:sz w:val="20"/>
          <w:szCs w:val="20"/>
          <w:lang w:val="en-US"/>
        </w:rPr>
        <w:t>s</w:t>
      </w:r>
      <w:r w:rsidRPr="006A79AD">
        <w:rPr>
          <w:rFonts w:asciiTheme="minorHAnsi" w:hAnsiTheme="minorHAnsi" w:cstheme="minorHAnsi"/>
          <w:sz w:val="20"/>
          <w:szCs w:val="20"/>
          <w:lang w:val="en-US"/>
        </w:rPr>
        <w:t xml:space="preserve"> Articles of the </w:t>
      </w:r>
      <w:proofErr w:type="gramStart"/>
      <w:r w:rsidR="000A5B68" w:rsidRPr="006A79AD">
        <w:rPr>
          <w:rFonts w:asciiTheme="minorHAnsi" w:hAnsiTheme="minorHAnsi" w:cstheme="minorHAnsi"/>
          <w:sz w:val="20"/>
          <w:szCs w:val="20"/>
          <w:lang w:val="en-US"/>
        </w:rPr>
        <w:t>HAR</w:t>
      </w:r>
      <w:r w:rsidRPr="006A79AD">
        <w:rPr>
          <w:rFonts w:asciiTheme="minorHAnsi" w:hAnsiTheme="minorHAnsi" w:cstheme="minorHAnsi"/>
          <w:sz w:val="20"/>
          <w:szCs w:val="20"/>
          <w:lang w:val="en-US"/>
        </w:rPr>
        <w:t xml:space="preserve"> which</w:t>
      </w:r>
      <w:proofErr w:type="gramEnd"/>
      <w:r w:rsidRPr="006A79AD">
        <w:rPr>
          <w:rFonts w:asciiTheme="minorHAnsi" w:hAnsiTheme="minorHAnsi" w:cstheme="minorHAnsi"/>
          <w:sz w:val="20"/>
          <w:szCs w:val="20"/>
          <w:lang w:val="en-US"/>
        </w:rPr>
        <w:t xml:space="preserve"> </w:t>
      </w:r>
      <w:r w:rsidR="008E6BFB" w:rsidRPr="006A79AD">
        <w:rPr>
          <w:rFonts w:asciiTheme="minorHAnsi" w:hAnsiTheme="minorHAnsi" w:cstheme="minorHAnsi"/>
          <w:sz w:val="20"/>
          <w:szCs w:val="20"/>
          <w:lang w:val="en-US"/>
        </w:rPr>
        <w:t>deviate</w:t>
      </w:r>
      <w:r w:rsidRPr="006A79AD">
        <w:rPr>
          <w:rFonts w:asciiTheme="minorHAnsi" w:hAnsiTheme="minorHAnsi" w:cstheme="minorHAnsi"/>
          <w:sz w:val="20"/>
          <w:szCs w:val="20"/>
          <w:lang w:val="en-US"/>
        </w:rPr>
        <w:t xml:space="preserve"> to the border Estonia – Latvia</w:t>
      </w:r>
      <w:r w:rsidR="008E6BFB" w:rsidRPr="006A79AD">
        <w:rPr>
          <w:rFonts w:asciiTheme="minorHAnsi" w:hAnsiTheme="minorHAnsi" w:cstheme="minorHAnsi"/>
          <w:sz w:val="20"/>
          <w:szCs w:val="20"/>
          <w:lang w:val="en-US"/>
        </w:rPr>
        <w:t>.</w:t>
      </w:r>
      <w:r w:rsidRPr="006A79AD">
        <w:rPr>
          <w:rFonts w:asciiTheme="minorHAnsi" w:hAnsiTheme="minorHAnsi" w:cstheme="minorHAnsi"/>
          <w:sz w:val="20"/>
          <w:szCs w:val="20"/>
          <w:lang w:val="en-US"/>
        </w:rPr>
        <w:t xml:space="preserve"> The list of these Articles of the </w:t>
      </w:r>
      <w:r w:rsidR="00513000" w:rsidRPr="006A79AD">
        <w:rPr>
          <w:rFonts w:asciiTheme="minorHAnsi" w:hAnsiTheme="minorHAnsi" w:cstheme="minorHAnsi"/>
          <w:sz w:val="20"/>
          <w:szCs w:val="20"/>
          <w:lang w:val="en-US"/>
        </w:rPr>
        <w:t>HAR</w:t>
      </w:r>
      <w:r w:rsidRPr="006A79AD">
        <w:rPr>
          <w:rFonts w:asciiTheme="minorHAnsi" w:hAnsiTheme="minorHAnsi" w:cstheme="minorHAnsi"/>
          <w:sz w:val="20"/>
          <w:szCs w:val="20"/>
          <w:lang w:val="en-US"/>
        </w:rPr>
        <w:t xml:space="preserve"> referred to in Article </w:t>
      </w:r>
      <w:r w:rsidR="006F371E" w:rsidRPr="006A79AD">
        <w:rPr>
          <w:rFonts w:asciiTheme="minorHAnsi" w:hAnsiTheme="minorHAnsi" w:cstheme="minorHAnsi"/>
          <w:sz w:val="20"/>
          <w:szCs w:val="20"/>
          <w:lang w:val="en-US"/>
        </w:rPr>
        <w:t xml:space="preserve">6 </w:t>
      </w:r>
      <w:r w:rsidRPr="006A79AD">
        <w:rPr>
          <w:rFonts w:asciiTheme="minorHAnsi" w:hAnsiTheme="minorHAnsi" w:cstheme="minorHAnsi"/>
          <w:sz w:val="20"/>
          <w:szCs w:val="20"/>
          <w:lang w:val="en-US"/>
        </w:rPr>
        <w:t xml:space="preserve">of this </w:t>
      </w:r>
      <w:r w:rsidR="008E6BFB" w:rsidRPr="006A79AD">
        <w:rPr>
          <w:rFonts w:asciiTheme="minorHAnsi" w:hAnsiTheme="minorHAnsi" w:cstheme="minorHAnsi"/>
          <w:sz w:val="20"/>
          <w:szCs w:val="20"/>
          <w:lang w:val="en-US"/>
        </w:rPr>
        <w:t xml:space="preserve">EE-LV Border Specific </w:t>
      </w:r>
      <w:r w:rsidRPr="006A79AD">
        <w:rPr>
          <w:rFonts w:asciiTheme="minorHAnsi" w:hAnsiTheme="minorHAnsi" w:cstheme="minorHAnsi"/>
          <w:sz w:val="20"/>
          <w:szCs w:val="20"/>
          <w:lang w:val="en-US"/>
        </w:rPr>
        <w:t xml:space="preserve">Annex </w:t>
      </w:r>
      <w:proofErr w:type="gramStart"/>
      <w:r w:rsidRPr="006A79AD">
        <w:rPr>
          <w:rFonts w:asciiTheme="minorHAnsi" w:hAnsiTheme="minorHAnsi" w:cstheme="minorHAnsi"/>
          <w:sz w:val="20"/>
          <w:szCs w:val="20"/>
          <w:lang w:val="en-US"/>
        </w:rPr>
        <w:t>shall not be regarded</w:t>
      </w:r>
      <w:proofErr w:type="gramEnd"/>
      <w:r w:rsidRPr="006A79AD">
        <w:rPr>
          <w:rFonts w:asciiTheme="minorHAnsi" w:hAnsiTheme="minorHAnsi" w:cstheme="minorHAnsi"/>
          <w:sz w:val="20"/>
          <w:szCs w:val="20"/>
          <w:lang w:val="en-US"/>
        </w:rPr>
        <w:t xml:space="preserve"> as exhaustive. </w:t>
      </w:r>
    </w:p>
    <w:p w14:paraId="08972D42" w14:textId="77777777" w:rsidR="00F04E93" w:rsidRPr="00507F64" w:rsidRDefault="00F04E93" w:rsidP="00FD5B46">
      <w:pPr>
        <w:spacing w:line="260" w:lineRule="exact"/>
        <w:jc w:val="center"/>
        <w:outlineLvl w:val="1"/>
        <w:rPr>
          <w:rFonts w:cstheme="minorHAnsi"/>
          <w:b/>
          <w:color w:val="23236E" w:themeColor="text2"/>
          <w:sz w:val="20"/>
          <w:szCs w:val="20"/>
          <w:lang w:val="en-US"/>
        </w:rPr>
      </w:pPr>
      <w:r w:rsidRPr="00812957">
        <w:rPr>
          <w:rFonts w:cstheme="minorHAnsi"/>
          <w:b/>
          <w:color w:val="23236E" w:themeColor="text2"/>
          <w:sz w:val="20"/>
          <w:szCs w:val="20"/>
          <w:lang w:val="en-US"/>
        </w:rPr>
        <w:t xml:space="preserve">Article </w:t>
      </w:r>
      <w:r w:rsidR="006F371E" w:rsidRPr="00812957">
        <w:rPr>
          <w:rFonts w:cstheme="minorHAnsi"/>
          <w:b/>
          <w:color w:val="23236E" w:themeColor="text2"/>
          <w:sz w:val="20"/>
          <w:szCs w:val="20"/>
          <w:lang w:val="en-US"/>
        </w:rPr>
        <w:t>2</w:t>
      </w:r>
    </w:p>
    <w:p w14:paraId="2AAFE7D6" w14:textId="77777777" w:rsidR="00F04E93" w:rsidRPr="006A79AD" w:rsidRDefault="00F04E93" w:rsidP="00FD5B46">
      <w:pPr>
        <w:spacing w:line="260" w:lineRule="exact"/>
        <w:jc w:val="center"/>
        <w:outlineLvl w:val="1"/>
        <w:rPr>
          <w:rFonts w:cstheme="minorHAnsi"/>
          <w:b/>
          <w:color w:val="23236E" w:themeColor="text2"/>
          <w:sz w:val="20"/>
          <w:szCs w:val="20"/>
          <w:lang w:val="en-US"/>
        </w:rPr>
      </w:pPr>
      <w:r w:rsidRPr="00E771F1">
        <w:rPr>
          <w:rFonts w:cstheme="minorHAnsi"/>
          <w:b/>
          <w:color w:val="23236E" w:themeColor="text2"/>
          <w:sz w:val="20"/>
          <w:szCs w:val="20"/>
          <w:lang w:val="en-US"/>
        </w:rPr>
        <w:t>Duration</w:t>
      </w:r>
    </w:p>
    <w:p w14:paraId="395DD2B0" w14:textId="270C3E90" w:rsidR="00F04E93" w:rsidRPr="006A79AD" w:rsidRDefault="00F04E93" w:rsidP="00655FF4">
      <w:pPr>
        <w:spacing w:before="240" w:after="120" w:line="256" w:lineRule="auto"/>
        <w:contextualSpacing/>
        <w:jc w:val="both"/>
        <w:rPr>
          <w:rFonts w:eastAsia="Calibri" w:cstheme="minorHAnsi"/>
          <w:sz w:val="20"/>
          <w:szCs w:val="20"/>
          <w:lang w:val="en-US"/>
        </w:rPr>
      </w:pPr>
      <w:proofErr w:type="gramStart"/>
      <w:r w:rsidRPr="006A79AD">
        <w:rPr>
          <w:rFonts w:eastAsia="Calibri" w:cstheme="minorHAnsi"/>
          <w:sz w:val="20"/>
          <w:szCs w:val="20"/>
          <w:lang w:val="en-US"/>
        </w:rPr>
        <w:t xml:space="preserve">This </w:t>
      </w:r>
      <w:r w:rsidR="00754649" w:rsidRPr="006A79AD">
        <w:rPr>
          <w:rFonts w:eastAsia="Calibri" w:cstheme="minorHAnsi"/>
          <w:sz w:val="20"/>
          <w:szCs w:val="20"/>
          <w:lang w:val="en-US"/>
        </w:rPr>
        <w:t>EE-LV Border Specific Annex</w:t>
      </w:r>
      <w:r w:rsidRPr="006A79AD">
        <w:rPr>
          <w:rFonts w:eastAsia="Calibri" w:cstheme="minorHAnsi"/>
          <w:sz w:val="20"/>
          <w:szCs w:val="20"/>
          <w:lang w:val="en-US"/>
        </w:rPr>
        <w:t xml:space="preserve"> enters into force as of the date of entry into force </w:t>
      </w:r>
      <w:r w:rsidR="001A7D8D" w:rsidRPr="006A79AD">
        <w:rPr>
          <w:rFonts w:eastAsia="Calibri" w:cstheme="minorHAnsi"/>
          <w:sz w:val="20"/>
          <w:szCs w:val="20"/>
          <w:lang w:val="en-US"/>
        </w:rPr>
        <w:t>and with implementation of Single Allocation Platform (hereafter referred to as “</w:t>
      </w:r>
      <w:r w:rsidR="001A7D8D" w:rsidRPr="00655FF4">
        <w:rPr>
          <w:rFonts w:eastAsia="Calibri" w:cstheme="minorHAnsi"/>
          <w:b/>
          <w:sz w:val="20"/>
          <w:szCs w:val="20"/>
          <w:lang w:val="en-US"/>
        </w:rPr>
        <w:t>SAP</w:t>
      </w:r>
      <w:r w:rsidR="001A7D8D" w:rsidRPr="006A79AD">
        <w:rPr>
          <w:rFonts w:eastAsia="Calibri" w:cstheme="minorHAnsi"/>
          <w:sz w:val="20"/>
          <w:szCs w:val="20"/>
          <w:lang w:val="en-US"/>
        </w:rPr>
        <w:t xml:space="preserve">”) as defined in the </w:t>
      </w:r>
      <w:r w:rsidR="005E023E" w:rsidRPr="006A79AD">
        <w:rPr>
          <w:rFonts w:eastAsia="Calibri" w:cstheme="minorHAnsi"/>
          <w:sz w:val="20"/>
          <w:szCs w:val="20"/>
          <w:lang w:val="en-US"/>
        </w:rPr>
        <w:t>decision</w:t>
      </w:r>
      <w:r w:rsidR="001A7D8D" w:rsidRPr="006A79AD">
        <w:rPr>
          <w:rFonts w:eastAsia="Calibri" w:cstheme="minorHAnsi"/>
          <w:sz w:val="20"/>
          <w:szCs w:val="20"/>
          <w:lang w:val="en-US"/>
        </w:rPr>
        <w:t xml:space="preserve"> of </w:t>
      </w:r>
      <w:r w:rsidR="005E023E" w:rsidRPr="006A79AD">
        <w:rPr>
          <w:rFonts w:eastAsia="Calibri" w:cstheme="minorHAnsi"/>
          <w:sz w:val="20"/>
          <w:szCs w:val="20"/>
          <w:lang w:val="en-US"/>
        </w:rPr>
        <w:t>a</w:t>
      </w:r>
      <w:r w:rsidR="001A7D8D" w:rsidRPr="006A79AD">
        <w:rPr>
          <w:rFonts w:eastAsia="Calibri" w:cstheme="minorHAnsi"/>
          <w:sz w:val="20"/>
          <w:szCs w:val="20"/>
          <w:lang w:val="en-US"/>
        </w:rPr>
        <w:t xml:space="preserve">ll </w:t>
      </w:r>
      <w:r w:rsidR="005E023E" w:rsidRPr="006A79AD">
        <w:rPr>
          <w:rFonts w:eastAsia="Calibri" w:cstheme="minorHAnsi"/>
          <w:sz w:val="20"/>
          <w:szCs w:val="20"/>
          <w:lang w:val="en-US"/>
        </w:rPr>
        <w:t>NRAs</w:t>
      </w:r>
      <w:r w:rsidR="001A7D8D" w:rsidRPr="006A79AD">
        <w:rPr>
          <w:rFonts w:eastAsia="Calibri" w:cstheme="minorHAnsi"/>
          <w:sz w:val="20"/>
          <w:szCs w:val="20"/>
          <w:lang w:val="en-US"/>
        </w:rPr>
        <w:t xml:space="preserve">, made at the Energy Regulators’ Forum on 18 September 2017 </w:t>
      </w:r>
      <w:r w:rsidR="00507F64">
        <w:rPr>
          <w:rFonts w:eastAsia="Calibri" w:cstheme="minorHAnsi"/>
          <w:sz w:val="20"/>
          <w:szCs w:val="20"/>
          <w:lang w:val="en-US"/>
        </w:rPr>
        <w:t xml:space="preserve">based </w:t>
      </w:r>
      <w:r w:rsidR="001A7D8D" w:rsidRPr="006A79AD">
        <w:rPr>
          <w:rFonts w:eastAsia="Calibri" w:cstheme="minorHAnsi"/>
          <w:sz w:val="20"/>
          <w:szCs w:val="20"/>
          <w:lang w:val="en-US"/>
        </w:rPr>
        <w:t xml:space="preserve">on the </w:t>
      </w:r>
      <w:r w:rsidR="00507F64">
        <w:rPr>
          <w:rFonts w:eastAsia="Calibri" w:cstheme="minorHAnsi"/>
          <w:sz w:val="20"/>
          <w:szCs w:val="20"/>
          <w:lang w:val="en-US"/>
        </w:rPr>
        <w:t xml:space="preserve">NRAs approved </w:t>
      </w:r>
      <w:r w:rsidR="005E023E" w:rsidRPr="006A79AD">
        <w:rPr>
          <w:rFonts w:eastAsia="Calibri" w:cstheme="minorHAnsi"/>
          <w:sz w:val="20"/>
          <w:szCs w:val="20"/>
          <w:lang w:val="en-US"/>
        </w:rPr>
        <w:t>All TSOs’ proposal for the establishment of a SAP in accordance with Article 49 and for the cost sharing methodology in accordance with Article 59 of the FCA Regulation dated on 17 April 2017.</w:t>
      </w:r>
      <w:proofErr w:type="gramEnd"/>
      <w:r w:rsidRPr="006A79AD">
        <w:rPr>
          <w:rFonts w:eastAsia="Calibri" w:cstheme="minorHAnsi"/>
          <w:sz w:val="20"/>
          <w:szCs w:val="20"/>
          <w:lang w:val="en-US"/>
        </w:rPr>
        <w:t xml:space="preserve"> This </w:t>
      </w:r>
      <w:r w:rsidR="00754649" w:rsidRPr="006A79AD">
        <w:rPr>
          <w:rFonts w:eastAsia="Calibri" w:cstheme="minorHAnsi"/>
          <w:sz w:val="20"/>
          <w:szCs w:val="20"/>
          <w:lang w:val="en-US"/>
        </w:rPr>
        <w:t>EE-LV Border Specific Annex</w:t>
      </w:r>
      <w:r w:rsidRPr="006A79AD">
        <w:rPr>
          <w:rFonts w:eastAsia="Calibri" w:cstheme="minorHAnsi"/>
          <w:sz w:val="20"/>
          <w:szCs w:val="20"/>
          <w:lang w:val="en-US"/>
        </w:rPr>
        <w:t xml:space="preserve"> </w:t>
      </w:r>
      <w:proofErr w:type="gramStart"/>
      <w:r w:rsidRPr="006A79AD">
        <w:rPr>
          <w:rFonts w:eastAsia="Calibri" w:cstheme="minorHAnsi"/>
          <w:sz w:val="20"/>
          <w:szCs w:val="20"/>
          <w:lang w:val="en-US"/>
        </w:rPr>
        <w:t>may be reviewed</w:t>
      </w:r>
      <w:proofErr w:type="gramEnd"/>
      <w:r w:rsidRPr="006A79AD">
        <w:rPr>
          <w:rFonts w:eastAsia="Calibri" w:cstheme="minorHAnsi"/>
          <w:sz w:val="20"/>
          <w:szCs w:val="20"/>
          <w:lang w:val="en-US"/>
        </w:rPr>
        <w:t xml:space="preserve"> based on </w:t>
      </w:r>
      <w:r w:rsidR="005E023E" w:rsidRPr="006A79AD">
        <w:rPr>
          <w:rFonts w:eastAsia="Calibri" w:cstheme="minorHAnsi"/>
          <w:sz w:val="20"/>
          <w:szCs w:val="20"/>
          <w:lang w:val="en-US"/>
        </w:rPr>
        <w:t xml:space="preserve">the </w:t>
      </w:r>
      <w:r w:rsidRPr="006A79AD">
        <w:rPr>
          <w:rFonts w:eastAsia="Calibri" w:cstheme="minorHAnsi"/>
          <w:sz w:val="20"/>
          <w:szCs w:val="20"/>
          <w:lang w:val="en-US"/>
        </w:rPr>
        <w:t xml:space="preserve">request of the relevant </w:t>
      </w:r>
      <w:r w:rsidR="00754649" w:rsidRPr="006A79AD">
        <w:rPr>
          <w:rFonts w:eastAsia="Calibri" w:cstheme="minorHAnsi"/>
          <w:sz w:val="20"/>
          <w:szCs w:val="20"/>
          <w:lang w:val="en-US"/>
        </w:rPr>
        <w:t>NRAs</w:t>
      </w:r>
      <w:r w:rsidRPr="006A79AD">
        <w:rPr>
          <w:rFonts w:eastAsia="Calibri" w:cstheme="minorHAnsi"/>
          <w:sz w:val="20"/>
          <w:szCs w:val="20"/>
          <w:lang w:val="en-US"/>
        </w:rPr>
        <w:t xml:space="preserve">. In case this </w:t>
      </w:r>
      <w:r w:rsidR="00754649" w:rsidRPr="006A79AD">
        <w:rPr>
          <w:rFonts w:eastAsia="Calibri" w:cstheme="minorHAnsi"/>
          <w:sz w:val="20"/>
          <w:szCs w:val="20"/>
          <w:lang w:val="en-US"/>
        </w:rPr>
        <w:t>EE-LV Border Specific Annex</w:t>
      </w:r>
      <w:r w:rsidR="005E023E" w:rsidRPr="006A79AD">
        <w:rPr>
          <w:rFonts w:eastAsia="Calibri" w:cstheme="minorHAnsi"/>
          <w:sz w:val="20"/>
          <w:szCs w:val="20"/>
          <w:lang w:val="en-US"/>
        </w:rPr>
        <w:t xml:space="preserve"> </w:t>
      </w:r>
      <w:r w:rsidRPr="006A79AD">
        <w:rPr>
          <w:rFonts w:eastAsia="Calibri" w:cstheme="minorHAnsi"/>
          <w:sz w:val="20"/>
          <w:szCs w:val="20"/>
          <w:lang w:val="en-US"/>
        </w:rPr>
        <w:t xml:space="preserve">needs to </w:t>
      </w:r>
      <w:proofErr w:type="gramStart"/>
      <w:r w:rsidRPr="006A79AD">
        <w:rPr>
          <w:rFonts w:eastAsia="Calibri" w:cstheme="minorHAnsi"/>
          <w:sz w:val="20"/>
          <w:szCs w:val="20"/>
          <w:lang w:val="en-US"/>
        </w:rPr>
        <w:t>be amended</w:t>
      </w:r>
      <w:proofErr w:type="gramEnd"/>
      <w:r w:rsidRPr="006A79AD">
        <w:rPr>
          <w:rFonts w:eastAsia="Calibri" w:cstheme="minorHAnsi"/>
          <w:sz w:val="20"/>
          <w:szCs w:val="20"/>
          <w:lang w:val="en-US"/>
        </w:rPr>
        <w:t xml:space="preserve"> based on a decision of the </w:t>
      </w:r>
      <w:r w:rsidR="00754649" w:rsidRPr="006A79AD">
        <w:rPr>
          <w:rFonts w:eastAsia="Calibri" w:cstheme="minorHAnsi"/>
          <w:sz w:val="20"/>
          <w:szCs w:val="20"/>
          <w:lang w:val="en-US"/>
        </w:rPr>
        <w:t>NRAs</w:t>
      </w:r>
      <w:r w:rsidRPr="006A79AD">
        <w:rPr>
          <w:rFonts w:eastAsia="Calibri" w:cstheme="minorHAnsi"/>
          <w:sz w:val="20"/>
          <w:szCs w:val="20"/>
          <w:lang w:val="en-US"/>
        </w:rPr>
        <w:t xml:space="preserve">, Article 68 of the HAR shall apply. </w:t>
      </w:r>
    </w:p>
    <w:p w14:paraId="5F686A86" w14:textId="77777777" w:rsidR="00FD5B46" w:rsidRPr="006A79AD" w:rsidRDefault="00FD5B46" w:rsidP="00FD5B46">
      <w:pPr>
        <w:pStyle w:val="BArticleNo"/>
        <w:rPr>
          <w:rFonts w:asciiTheme="minorHAnsi" w:hAnsiTheme="minorHAnsi" w:cstheme="minorHAnsi"/>
          <w:color w:val="23236E" w:themeColor="text2"/>
          <w:sz w:val="20"/>
          <w:szCs w:val="20"/>
          <w:lang w:val="en-US"/>
        </w:rPr>
      </w:pPr>
      <w:bookmarkStart w:id="5" w:name="_Toc432586786"/>
      <w:bookmarkStart w:id="6" w:name="_Toc432586806"/>
      <w:bookmarkStart w:id="7" w:name="_Toc464485821"/>
      <w:bookmarkStart w:id="8" w:name="_Toc491078298"/>
      <w:r w:rsidRPr="006A79AD">
        <w:rPr>
          <w:rFonts w:asciiTheme="minorHAnsi" w:hAnsiTheme="minorHAnsi" w:cstheme="minorHAnsi"/>
          <w:color w:val="23236E" w:themeColor="text2"/>
          <w:sz w:val="20"/>
          <w:szCs w:val="20"/>
          <w:lang w:val="en-US"/>
        </w:rPr>
        <w:t>Article 3</w:t>
      </w:r>
      <w:r w:rsidRPr="006A79AD">
        <w:rPr>
          <w:rFonts w:asciiTheme="minorHAnsi" w:hAnsiTheme="minorHAnsi" w:cstheme="minorHAnsi"/>
          <w:color w:val="23236E" w:themeColor="text2"/>
          <w:sz w:val="20"/>
          <w:szCs w:val="20"/>
          <w:lang w:val="en-US"/>
        </w:rPr>
        <w:br/>
        <w:t>Language</w:t>
      </w:r>
      <w:bookmarkEnd w:id="5"/>
      <w:bookmarkEnd w:id="6"/>
      <w:bookmarkEnd w:id="7"/>
      <w:bookmarkEnd w:id="8"/>
    </w:p>
    <w:p w14:paraId="43CB868C" w14:textId="7B977A79" w:rsidR="00FD5B46" w:rsidRPr="006A79AD" w:rsidRDefault="00FD5B46" w:rsidP="00FD5B46">
      <w:pPr>
        <w:spacing w:after="120"/>
        <w:jc w:val="both"/>
        <w:rPr>
          <w:rFonts w:cstheme="minorHAnsi"/>
          <w:sz w:val="20"/>
          <w:szCs w:val="20"/>
          <w:lang w:val="en-US"/>
        </w:rPr>
      </w:pPr>
      <w:r w:rsidRPr="006A79AD">
        <w:rPr>
          <w:rFonts w:cstheme="minorHAnsi"/>
          <w:sz w:val="20"/>
          <w:szCs w:val="20"/>
          <w:lang w:val="en-US"/>
        </w:rPr>
        <w:t xml:space="preserve">The reference language for this </w:t>
      </w:r>
      <w:r w:rsidR="00754649" w:rsidRPr="006A79AD">
        <w:rPr>
          <w:rFonts w:cstheme="minorHAnsi"/>
          <w:sz w:val="20"/>
          <w:szCs w:val="20"/>
          <w:lang w:val="en-US"/>
        </w:rPr>
        <w:t>EE-LV Border Specific Annex</w:t>
      </w:r>
      <w:r w:rsidRPr="006A79AD">
        <w:rPr>
          <w:rFonts w:cstheme="minorHAnsi"/>
          <w:sz w:val="20"/>
          <w:szCs w:val="20"/>
          <w:lang w:val="en-US"/>
        </w:rPr>
        <w:t xml:space="preserve"> shall be English. </w:t>
      </w:r>
      <w:proofErr w:type="gramStart"/>
      <w:r w:rsidRPr="006A79AD">
        <w:rPr>
          <w:rFonts w:cstheme="minorHAnsi"/>
          <w:sz w:val="20"/>
          <w:szCs w:val="20"/>
          <w:lang w:val="en-US"/>
        </w:rPr>
        <w:t xml:space="preserve">For the avoidance of doubt, where </w:t>
      </w:r>
      <w:r w:rsidR="00507F64">
        <w:rPr>
          <w:rFonts w:cstheme="minorHAnsi"/>
          <w:sz w:val="20"/>
          <w:szCs w:val="20"/>
          <w:lang w:val="en-US"/>
        </w:rPr>
        <w:t xml:space="preserve">the </w:t>
      </w:r>
      <w:r w:rsidRPr="006A79AD">
        <w:rPr>
          <w:rFonts w:cstheme="minorHAnsi"/>
          <w:sz w:val="20"/>
          <w:szCs w:val="20"/>
          <w:lang w:val="en-US"/>
        </w:rPr>
        <w:t xml:space="preserve">TSOs need to translate this </w:t>
      </w:r>
      <w:r w:rsidR="00754649" w:rsidRPr="006A79AD">
        <w:rPr>
          <w:rFonts w:cstheme="minorHAnsi"/>
          <w:sz w:val="20"/>
          <w:szCs w:val="20"/>
          <w:lang w:val="en-US"/>
        </w:rPr>
        <w:t>EE-LV Border Specific Annex</w:t>
      </w:r>
      <w:r w:rsidRPr="006A79AD">
        <w:rPr>
          <w:rFonts w:cstheme="minorHAnsi"/>
          <w:sz w:val="20"/>
          <w:szCs w:val="20"/>
          <w:lang w:val="en-US"/>
        </w:rPr>
        <w:t xml:space="preserve"> into national language(s), in the event of inconsistencies between the English version published by TSOs in the Baltic CCR in accordance with Article 4(13) of the FCA Regulation and any version in another language, the relevant TSOs shall, in accordance with national legislation, provide the relevant NRAs with an updated translation of the </w:t>
      </w:r>
      <w:r w:rsidR="00754649" w:rsidRPr="006A79AD">
        <w:rPr>
          <w:rFonts w:cstheme="minorHAnsi"/>
          <w:sz w:val="20"/>
          <w:szCs w:val="20"/>
          <w:lang w:val="en-US"/>
        </w:rPr>
        <w:t>EE-LV Border Specific Annex</w:t>
      </w:r>
      <w:r w:rsidRPr="006A79AD">
        <w:rPr>
          <w:rFonts w:cstheme="minorHAnsi"/>
          <w:sz w:val="20"/>
          <w:szCs w:val="20"/>
          <w:lang w:val="en-US"/>
        </w:rPr>
        <w:t>.</w:t>
      </w:r>
      <w:proofErr w:type="gramEnd"/>
    </w:p>
    <w:p w14:paraId="71F589F7" w14:textId="77777777" w:rsidR="00FD5B46" w:rsidRPr="006A79AD" w:rsidRDefault="00FD5B46" w:rsidP="006F371E">
      <w:pPr>
        <w:spacing w:after="120" w:line="256" w:lineRule="auto"/>
        <w:contextualSpacing/>
        <w:jc w:val="both"/>
        <w:rPr>
          <w:rFonts w:eastAsia="Calibri" w:cstheme="minorHAnsi"/>
          <w:sz w:val="20"/>
          <w:szCs w:val="20"/>
          <w:lang w:val="en-US"/>
        </w:rPr>
      </w:pPr>
    </w:p>
    <w:p w14:paraId="73BAB227" w14:textId="77777777" w:rsidR="001D41D8" w:rsidRPr="00507F64" w:rsidRDefault="00B5799F" w:rsidP="005C5AA6">
      <w:pPr>
        <w:spacing w:before="400" w:after="120" w:line="340" w:lineRule="exact"/>
        <w:jc w:val="center"/>
        <w:outlineLvl w:val="0"/>
        <w:rPr>
          <w:rFonts w:cstheme="minorHAnsi"/>
          <w:b/>
          <w:color w:val="23236E" w:themeColor="text2"/>
          <w:sz w:val="20"/>
          <w:szCs w:val="20"/>
          <w:lang w:val="en-US"/>
        </w:rPr>
      </w:pPr>
      <w:r w:rsidRPr="00812957">
        <w:rPr>
          <w:rFonts w:cstheme="minorHAnsi"/>
          <w:sz w:val="20"/>
          <w:szCs w:val="20"/>
          <w:lang w:val="en-US"/>
        </w:rPr>
        <w:t xml:space="preserve"> </w:t>
      </w:r>
      <w:r w:rsidRPr="00812957">
        <w:rPr>
          <w:rFonts w:cstheme="minorHAnsi"/>
          <w:b/>
          <w:color w:val="23236E" w:themeColor="text2"/>
          <w:sz w:val="20"/>
          <w:szCs w:val="20"/>
          <w:lang w:val="en-US"/>
        </w:rPr>
        <w:t xml:space="preserve">TITLE 2 </w:t>
      </w:r>
      <w:r w:rsidRPr="00812957">
        <w:rPr>
          <w:rFonts w:cstheme="minorHAnsi"/>
          <w:b/>
          <w:color w:val="23236E" w:themeColor="text2"/>
          <w:sz w:val="20"/>
          <w:szCs w:val="20"/>
          <w:lang w:val="en-US"/>
        </w:rPr>
        <w:br/>
      </w:r>
      <w:r w:rsidR="002D2455" w:rsidRPr="00507F64">
        <w:rPr>
          <w:rFonts w:cstheme="minorHAnsi"/>
          <w:b/>
          <w:color w:val="23236E" w:themeColor="text2"/>
          <w:sz w:val="20"/>
          <w:szCs w:val="20"/>
          <w:lang w:val="en-US"/>
        </w:rPr>
        <w:t>Cap on compensation</w:t>
      </w:r>
    </w:p>
    <w:p w14:paraId="5C5171E2" w14:textId="7D426A6A" w:rsidR="00B5799F" w:rsidRPr="006A79AD" w:rsidRDefault="00B5799F" w:rsidP="00B5799F">
      <w:pPr>
        <w:spacing w:after="120" w:line="260" w:lineRule="exact"/>
        <w:jc w:val="center"/>
        <w:outlineLvl w:val="1"/>
        <w:rPr>
          <w:rFonts w:cstheme="minorHAnsi"/>
          <w:b/>
          <w:color w:val="23236E" w:themeColor="text2"/>
          <w:sz w:val="20"/>
          <w:szCs w:val="20"/>
          <w:lang w:val="en-US"/>
        </w:rPr>
      </w:pPr>
      <w:r w:rsidRPr="00E771F1">
        <w:rPr>
          <w:rFonts w:cstheme="minorHAnsi"/>
          <w:b/>
          <w:color w:val="23236E" w:themeColor="text2"/>
          <w:sz w:val="20"/>
          <w:szCs w:val="20"/>
          <w:lang w:val="en-US"/>
        </w:rPr>
        <w:t xml:space="preserve">Article </w:t>
      </w:r>
      <w:r w:rsidR="00FD5B46" w:rsidRPr="006A79AD">
        <w:rPr>
          <w:rFonts w:cstheme="minorHAnsi"/>
          <w:b/>
          <w:color w:val="23236E" w:themeColor="text2"/>
          <w:sz w:val="20"/>
          <w:szCs w:val="20"/>
          <w:lang w:val="en-US"/>
        </w:rPr>
        <w:t>4</w:t>
      </w:r>
      <w:r w:rsidRPr="006A79AD">
        <w:rPr>
          <w:rFonts w:cstheme="minorHAnsi"/>
          <w:b/>
          <w:color w:val="23236E" w:themeColor="text2"/>
          <w:sz w:val="20"/>
          <w:szCs w:val="20"/>
          <w:lang w:val="en-US"/>
        </w:rPr>
        <w:br/>
      </w:r>
      <w:r w:rsidR="002D2455" w:rsidRPr="006A79AD">
        <w:rPr>
          <w:rFonts w:cstheme="minorHAnsi"/>
          <w:b/>
          <w:color w:val="23236E" w:themeColor="text2"/>
          <w:sz w:val="20"/>
          <w:szCs w:val="20"/>
          <w:lang w:val="en-US"/>
        </w:rPr>
        <w:t>Bidding zone borders where cap is a</w:t>
      </w:r>
      <w:r w:rsidR="00FD7BEA" w:rsidRPr="006A79AD">
        <w:rPr>
          <w:rFonts w:cstheme="minorHAnsi"/>
          <w:b/>
          <w:color w:val="23236E" w:themeColor="text2"/>
          <w:sz w:val="20"/>
          <w:szCs w:val="20"/>
          <w:lang w:val="en-US"/>
        </w:rPr>
        <w:t>pplicable</w:t>
      </w:r>
    </w:p>
    <w:p w14:paraId="3B8AE4B6" w14:textId="1E8D17E1" w:rsidR="002D2455" w:rsidRPr="00E771F1" w:rsidRDefault="003E4A51" w:rsidP="002D2455">
      <w:pPr>
        <w:spacing w:after="120" w:line="259" w:lineRule="auto"/>
        <w:contextualSpacing/>
        <w:jc w:val="both"/>
        <w:rPr>
          <w:rFonts w:cstheme="minorHAnsi"/>
          <w:sz w:val="20"/>
          <w:szCs w:val="20"/>
          <w:lang w:val="en-US"/>
        </w:rPr>
      </w:pPr>
      <w:r w:rsidRPr="006A79AD">
        <w:rPr>
          <w:rFonts w:cstheme="minorHAnsi"/>
          <w:sz w:val="20"/>
          <w:szCs w:val="20"/>
          <w:lang w:val="en-US"/>
        </w:rPr>
        <w:t>For the pu</w:t>
      </w:r>
      <w:r w:rsidR="00ED72A8" w:rsidRPr="006A79AD">
        <w:rPr>
          <w:rFonts w:cstheme="minorHAnsi"/>
          <w:sz w:val="20"/>
          <w:szCs w:val="20"/>
          <w:lang w:val="en-US"/>
        </w:rPr>
        <w:t>r</w:t>
      </w:r>
      <w:r w:rsidRPr="006A79AD">
        <w:rPr>
          <w:rFonts w:cstheme="minorHAnsi"/>
          <w:sz w:val="20"/>
          <w:szCs w:val="20"/>
          <w:lang w:val="en-US"/>
        </w:rPr>
        <w:t xml:space="preserve">poses of this </w:t>
      </w:r>
      <w:r w:rsidR="00CF298C" w:rsidRPr="00CF298C">
        <w:rPr>
          <w:rFonts w:cstheme="minorHAnsi"/>
          <w:sz w:val="20"/>
          <w:szCs w:val="20"/>
          <w:lang w:val="en-US"/>
        </w:rPr>
        <w:t>EE-LV Border Specific Annex</w:t>
      </w:r>
      <w:r w:rsidR="008D4ED6" w:rsidRPr="00CF298C">
        <w:rPr>
          <w:rFonts w:cstheme="minorHAnsi"/>
          <w:sz w:val="20"/>
          <w:szCs w:val="20"/>
          <w:lang w:val="en-US"/>
        </w:rPr>
        <w:t xml:space="preserve"> and the HAR</w:t>
      </w:r>
      <w:r w:rsidRPr="00CF298C">
        <w:rPr>
          <w:rFonts w:cstheme="minorHAnsi"/>
          <w:sz w:val="20"/>
          <w:szCs w:val="20"/>
          <w:lang w:val="en-US"/>
        </w:rPr>
        <w:t xml:space="preserve">, a cap on compensation shall only apply to the </w:t>
      </w:r>
      <w:r w:rsidR="00FA1158">
        <w:rPr>
          <w:rFonts w:cstheme="minorHAnsi"/>
          <w:sz w:val="20"/>
          <w:szCs w:val="20"/>
          <w:lang w:val="en-US"/>
        </w:rPr>
        <w:t>B</w:t>
      </w:r>
      <w:r w:rsidRPr="00CF298C">
        <w:rPr>
          <w:rFonts w:cstheme="minorHAnsi"/>
          <w:sz w:val="20"/>
          <w:szCs w:val="20"/>
          <w:lang w:val="en-US"/>
        </w:rPr>
        <w:t xml:space="preserve">idding </w:t>
      </w:r>
      <w:r w:rsidR="00FA1158">
        <w:rPr>
          <w:rFonts w:cstheme="minorHAnsi"/>
          <w:sz w:val="20"/>
          <w:szCs w:val="20"/>
          <w:lang w:val="en-US"/>
        </w:rPr>
        <w:t>Z</w:t>
      </w:r>
      <w:r w:rsidRPr="00CF298C">
        <w:rPr>
          <w:rFonts w:cstheme="minorHAnsi"/>
          <w:sz w:val="20"/>
          <w:szCs w:val="20"/>
          <w:lang w:val="en-US"/>
        </w:rPr>
        <w:t>one borders listed in the present Title.</w:t>
      </w:r>
    </w:p>
    <w:p w14:paraId="5A74EC63" w14:textId="77777777" w:rsidR="00E82001" w:rsidRPr="006A79AD" w:rsidRDefault="00E82001" w:rsidP="002D2455">
      <w:pPr>
        <w:spacing w:after="120" w:line="259" w:lineRule="auto"/>
        <w:contextualSpacing/>
        <w:jc w:val="both"/>
        <w:rPr>
          <w:rFonts w:cstheme="minorHAnsi"/>
          <w:sz w:val="20"/>
          <w:szCs w:val="20"/>
          <w:lang w:val="en-US"/>
        </w:rPr>
      </w:pPr>
    </w:p>
    <w:p w14:paraId="529D7CBD" w14:textId="7C2AF1AA" w:rsidR="003E4A51" w:rsidRPr="00812957" w:rsidRDefault="003E4A51" w:rsidP="003E4A51">
      <w:pPr>
        <w:spacing w:after="120" w:line="260" w:lineRule="exact"/>
        <w:jc w:val="center"/>
        <w:outlineLvl w:val="1"/>
        <w:rPr>
          <w:rFonts w:cstheme="minorHAnsi"/>
          <w:b/>
          <w:color w:val="23236E" w:themeColor="text2"/>
          <w:sz w:val="20"/>
          <w:szCs w:val="20"/>
          <w:lang w:val="en-US"/>
        </w:rPr>
      </w:pPr>
      <w:r w:rsidRPr="006A79AD">
        <w:rPr>
          <w:rFonts w:cstheme="minorHAnsi"/>
          <w:b/>
          <w:color w:val="23236E" w:themeColor="text2"/>
          <w:sz w:val="20"/>
          <w:szCs w:val="20"/>
          <w:lang w:val="en-US"/>
        </w:rPr>
        <w:t xml:space="preserve">Article </w:t>
      </w:r>
      <w:r w:rsidR="00E817EC" w:rsidRPr="006A79AD">
        <w:rPr>
          <w:rFonts w:cstheme="minorHAnsi"/>
          <w:b/>
          <w:color w:val="23236E" w:themeColor="text2"/>
          <w:sz w:val="20"/>
          <w:szCs w:val="20"/>
          <w:lang w:val="en-US"/>
        </w:rPr>
        <w:t>5</w:t>
      </w:r>
      <w:r w:rsidRPr="006A79AD">
        <w:rPr>
          <w:rFonts w:cstheme="minorHAnsi"/>
          <w:b/>
          <w:color w:val="23236E" w:themeColor="text2"/>
          <w:sz w:val="20"/>
          <w:szCs w:val="20"/>
          <w:lang w:val="en-US"/>
        </w:rPr>
        <w:br/>
      </w:r>
      <w:r w:rsidR="00867E1B" w:rsidRPr="006A79AD">
        <w:rPr>
          <w:rFonts w:cstheme="minorHAnsi"/>
          <w:b/>
          <w:color w:val="23236E" w:themeColor="text2"/>
          <w:sz w:val="20"/>
          <w:szCs w:val="20"/>
          <w:lang w:val="en-US"/>
        </w:rPr>
        <w:t>Estonia – Latvia (EE-LV)</w:t>
      </w:r>
    </w:p>
    <w:p w14:paraId="7EC73247" w14:textId="168605D7" w:rsidR="008D4ED6" w:rsidRPr="00507F64" w:rsidRDefault="008D4ED6" w:rsidP="008D4ED6">
      <w:pPr>
        <w:spacing w:after="120" w:line="259" w:lineRule="auto"/>
        <w:contextualSpacing/>
        <w:jc w:val="both"/>
        <w:rPr>
          <w:rFonts w:cstheme="minorHAnsi"/>
          <w:sz w:val="20"/>
          <w:szCs w:val="20"/>
          <w:lang w:val="en-US"/>
        </w:rPr>
      </w:pPr>
      <w:r w:rsidRPr="00812957">
        <w:rPr>
          <w:rFonts w:cstheme="minorHAnsi"/>
          <w:sz w:val="20"/>
          <w:szCs w:val="20"/>
          <w:lang w:val="en-US"/>
        </w:rPr>
        <w:t xml:space="preserve">A cap on compensation shall </w:t>
      </w:r>
      <w:r w:rsidR="005B28A8" w:rsidRPr="00507F64">
        <w:rPr>
          <w:rFonts w:cstheme="minorHAnsi"/>
          <w:sz w:val="20"/>
          <w:szCs w:val="20"/>
          <w:lang w:val="en-US"/>
        </w:rPr>
        <w:t xml:space="preserve">not </w:t>
      </w:r>
      <w:r w:rsidRPr="00507F64">
        <w:rPr>
          <w:rFonts w:cstheme="minorHAnsi"/>
          <w:sz w:val="20"/>
          <w:szCs w:val="20"/>
          <w:lang w:val="en-US"/>
        </w:rPr>
        <w:t xml:space="preserve">be applicable to the </w:t>
      </w:r>
      <w:r w:rsidR="005B28A8" w:rsidRPr="006A79AD">
        <w:rPr>
          <w:rFonts w:cstheme="minorHAnsi"/>
          <w:sz w:val="20"/>
          <w:szCs w:val="20"/>
          <w:lang w:val="en-US"/>
        </w:rPr>
        <w:t xml:space="preserve">border Estonia – Latvia </w:t>
      </w:r>
      <w:r w:rsidRPr="00812957">
        <w:rPr>
          <w:rFonts w:cstheme="minorHAnsi"/>
          <w:sz w:val="20"/>
          <w:szCs w:val="20"/>
          <w:lang w:val="en-US"/>
        </w:rPr>
        <w:t>in accordance with Article 59(2)</w:t>
      </w:r>
      <w:r w:rsidR="00CF298C">
        <w:rPr>
          <w:rFonts w:cstheme="minorHAnsi"/>
          <w:sz w:val="20"/>
          <w:szCs w:val="20"/>
          <w:lang w:val="en-US"/>
        </w:rPr>
        <w:t xml:space="preserve"> and Article </w:t>
      </w:r>
      <w:r w:rsidRPr="00812957">
        <w:rPr>
          <w:rFonts w:cstheme="minorHAnsi"/>
          <w:sz w:val="20"/>
          <w:szCs w:val="20"/>
          <w:lang w:val="en-US"/>
        </w:rPr>
        <w:t>59(3) of the HAR</w:t>
      </w:r>
      <w:r w:rsidR="005969C7" w:rsidRPr="00507F64">
        <w:rPr>
          <w:rFonts w:cstheme="minorHAnsi"/>
          <w:sz w:val="20"/>
          <w:szCs w:val="20"/>
          <w:lang w:val="en-US"/>
        </w:rPr>
        <w:t>.</w:t>
      </w:r>
    </w:p>
    <w:p w14:paraId="3AE0C2E8" w14:textId="1404E846" w:rsidR="002D2455" w:rsidRPr="00E771F1" w:rsidRDefault="002D2455" w:rsidP="00655FF4">
      <w:pPr>
        <w:keepNext/>
        <w:keepLines/>
        <w:spacing w:before="400" w:after="120" w:line="340" w:lineRule="exact"/>
        <w:jc w:val="center"/>
        <w:outlineLvl w:val="0"/>
        <w:rPr>
          <w:rFonts w:cstheme="minorHAnsi"/>
          <w:b/>
          <w:color w:val="23236E" w:themeColor="text2"/>
          <w:sz w:val="20"/>
          <w:szCs w:val="20"/>
          <w:lang w:val="en-US"/>
        </w:rPr>
      </w:pPr>
      <w:r w:rsidRPr="00866290">
        <w:rPr>
          <w:rFonts w:cstheme="minorHAnsi"/>
          <w:b/>
          <w:color w:val="23236E" w:themeColor="text2"/>
          <w:sz w:val="20"/>
          <w:szCs w:val="20"/>
          <w:lang w:val="en-US"/>
        </w:rPr>
        <w:lastRenderedPageBreak/>
        <w:t xml:space="preserve">TITLE </w:t>
      </w:r>
      <w:proofErr w:type="gramStart"/>
      <w:r w:rsidRPr="00866290">
        <w:rPr>
          <w:rFonts w:cstheme="minorHAnsi"/>
          <w:b/>
          <w:color w:val="23236E" w:themeColor="text2"/>
          <w:sz w:val="20"/>
          <w:szCs w:val="20"/>
          <w:lang w:val="en-US"/>
        </w:rPr>
        <w:t>3</w:t>
      </w:r>
      <w:proofErr w:type="gramEnd"/>
      <w:r w:rsidRPr="00866290">
        <w:rPr>
          <w:rFonts w:cstheme="minorHAnsi"/>
          <w:b/>
          <w:color w:val="23236E" w:themeColor="text2"/>
          <w:sz w:val="20"/>
          <w:szCs w:val="20"/>
          <w:lang w:val="en-US"/>
        </w:rPr>
        <w:t xml:space="preserve"> </w:t>
      </w:r>
      <w:r w:rsidRPr="00866290">
        <w:rPr>
          <w:rFonts w:cstheme="minorHAnsi"/>
          <w:b/>
          <w:color w:val="23236E" w:themeColor="text2"/>
          <w:sz w:val="20"/>
          <w:szCs w:val="20"/>
          <w:lang w:val="en-US"/>
        </w:rPr>
        <w:br/>
        <w:t xml:space="preserve">Further regional or </w:t>
      </w:r>
      <w:r w:rsidR="006A79AD">
        <w:rPr>
          <w:rFonts w:cstheme="minorHAnsi"/>
          <w:b/>
          <w:color w:val="23236E" w:themeColor="text2"/>
          <w:sz w:val="20"/>
          <w:szCs w:val="20"/>
          <w:lang w:val="en-US"/>
        </w:rPr>
        <w:t>B</w:t>
      </w:r>
      <w:r w:rsidRPr="00866290">
        <w:rPr>
          <w:rFonts w:cstheme="minorHAnsi"/>
          <w:b/>
          <w:color w:val="23236E" w:themeColor="text2"/>
          <w:sz w:val="20"/>
          <w:szCs w:val="20"/>
          <w:lang w:val="en-US"/>
        </w:rPr>
        <w:t xml:space="preserve">idding </w:t>
      </w:r>
      <w:r w:rsidR="006A79AD">
        <w:rPr>
          <w:rFonts w:cstheme="minorHAnsi"/>
          <w:b/>
          <w:color w:val="23236E" w:themeColor="text2"/>
          <w:sz w:val="20"/>
          <w:szCs w:val="20"/>
          <w:lang w:val="en-US"/>
        </w:rPr>
        <w:t>Z</w:t>
      </w:r>
      <w:r w:rsidRPr="00866290">
        <w:rPr>
          <w:rFonts w:cstheme="minorHAnsi"/>
          <w:b/>
          <w:color w:val="23236E" w:themeColor="text2"/>
          <w:sz w:val="20"/>
          <w:szCs w:val="20"/>
          <w:lang w:val="en-US"/>
        </w:rPr>
        <w:t>one border specific requirements</w:t>
      </w:r>
    </w:p>
    <w:p w14:paraId="7A6DE28B" w14:textId="77777777" w:rsidR="00A37790" w:rsidRPr="006A79AD" w:rsidRDefault="00A37790" w:rsidP="00655FF4">
      <w:pPr>
        <w:pStyle w:val="BArticleNo"/>
        <w:keepLines/>
        <w:ind w:left="3824" w:firstLine="424"/>
        <w:jc w:val="left"/>
        <w:rPr>
          <w:rFonts w:asciiTheme="minorHAnsi" w:hAnsiTheme="minorHAnsi" w:cstheme="minorHAnsi"/>
          <w:sz w:val="20"/>
          <w:szCs w:val="20"/>
          <w:lang w:val="en-US"/>
        </w:rPr>
      </w:pPr>
      <w:r w:rsidRPr="00812957">
        <w:rPr>
          <w:rFonts w:asciiTheme="minorHAnsi" w:hAnsiTheme="minorHAnsi" w:cstheme="minorHAnsi"/>
          <w:color w:val="23236E" w:themeColor="text2"/>
          <w:sz w:val="20"/>
          <w:szCs w:val="20"/>
          <w:lang w:val="en-US"/>
        </w:rPr>
        <w:t xml:space="preserve">Article </w:t>
      </w:r>
      <w:r w:rsidR="006F371E" w:rsidRPr="00507F64">
        <w:rPr>
          <w:rFonts w:asciiTheme="minorHAnsi" w:hAnsiTheme="minorHAnsi" w:cstheme="minorHAnsi"/>
          <w:color w:val="23236E" w:themeColor="text2"/>
          <w:sz w:val="20"/>
          <w:szCs w:val="20"/>
          <w:lang w:val="en-US"/>
        </w:rPr>
        <w:t>6</w:t>
      </w:r>
    </w:p>
    <w:p w14:paraId="6498F72A" w14:textId="3D82D63B" w:rsidR="00A37790" w:rsidRPr="00655FF4" w:rsidRDefault="00A37790" w:rsidP="009866BF">
      <w:pPr>
        <w:spacing w:after="120" w:line="260" w:lineRule="exact"/>
        <w:jc w:val="center"/>
        <w:outlineLvl w:val="1"/>
        <w:rPr>
          <w:rFonts w:cstheme="minorHAnsi"/>
          <w:b/>
          <w:color w:val="23236E" w:themeColor="text2"/>
          <w:sz w:val="20"/>
          <w:szCs w:val="20"/>
          <w:lang w:val="en-US"/>
        </w:rPr>
      </w:pPr>
      <w:r w:rsidRPr="006A79AD">
        <w:rPr>
          <w:rFonts w:cstheme="minorHAnsi"/>
          <w:b/>
          <w:color w:val="23236E" w:themeColor="text2"/>
          <w:sz w:val="20"/>
          <w:szCs w:val="20"/>
          <w:lang w:val="en-US"/>
        </w:rPr>
        <w:t xml:space="preserve">Articles of the </w:t>
      </w:r>
      <w:proofErr w:type="gramStart"/>
      <w:r w:rsidR="006D0786" w:rsidRPr="006A79AD">
        <w:rPr>
          <w:rFonts w:cstheme="minorHAnsi"/>
          <w:b/>
          <w:color w:val="23236E" w:themeColor="text2"/>
          <w:sz w:val="20"/>
          <w:szCs w:val="20"/>
          <w:lang w:val="en-US"/>
        </w:rPr>
        <w:t>HAR</w:t>
      </w:r>
      <w:r w:rsidRPr="006A79AD">
        <w:rPr>
          <w:rFonts w:cstheme="minorHAnsi"/>
          <w:b/>
          <w:color w:val="23236E" w:themeColor="text2"/>
          <w:sz w:val="20"/>
          <w:szCs w:val="20"/>
          <w:lang w:val="en-US"/>
        </w:rPr>
        <w:t xml:space="preserve"> which</w:t>
      </w:r>
      <w:proofErr w:type="gramEnd"/>
      <w:r w:rsidRPr="006A79AD">
        <w:rPr>
          <w:rFonts w:cstheme="minorHAnsi"/>
          <w:b/>
          <w:color w:val="23236E" w:themeColor="text2"/>
          <w:sz w:val="20"/>
          <w:szCs w:val="20"/>
          <w:lang w:val="en-US"/>
        </w:rPr>
        <w:t xml:space="preserve"> deviate for the Estonia – Latvia</w:t>
      </w:r>
      <w:r w:rsidR="005C5AA6" w:rsidRPr="006A79AD">
        <w:rPr>
          <w:rFonts w:cstheme="minorHAnsi"/>
          <w:b/>
          <w:color w:val="23236E" w:themeColor="text2"/>
          <w:sz w:val="20"/>
          <w:szCs w:val="20"/>
          <w:lang w:val="en-US"/>
        </w:rPr>
        <w:t xml:space="preserve"> </w:t>
      </w:r>
      <w:r w:rsidR="006A79AD">
        <w:rPr>
          <w:rFonts w:cstheme="minorHAnsi"/>
          <w:b/>
          <w:color w:val="23236E" w:themeColor="text2"/>
          <w:sz w:val="20"/>
          <w:szCs w:val="20"/>
          <w:lang w:val="en-US"/>
        </w:rPr>
        <w:t>B</w:t>
      </w:r>
      <w:r w:rsidR="005C5AA6" w:rsidRPr="00655FF4">
        <w:rPr>
          <w:rFonts w:cstheme="minorHAnsi"/>
          <w:b/>
          <w:color w:val="23236E" w:themeColor="text2"/>
          <w:sz w:val="20"/>
          <w:szCs w:val="20"/>
          <w:lang w:val="en-US"/>
        </w:rPr>
        <w:t>idding</w:t>
      </w:r>
      <w:r w:rsidR="00FD5B46" w:rsidRPr="00655FF4">
        <w:rPr>
          <w:rFonts w:cstheme="minorHAnsi"/>
          <w:b/>
          <w:color w:val="23236E" w:themeColor="text2"/>
          <w:sz w:val="20"/>
          <w:szCs w:val="20"/>
          <w:lang w:val="en-US"/>
        </w:rPr>
        <w:t xml:space="preserve"> </w:t>
      </w:r>
      <w:r w:rsidR="006A79AD">
        <w:rPr>
          <w:rFonts w:cstheme="minorHAnsi"/>
          <w:b/>
          <w:color w:val="23236E" w:themeColor="text2"/>
          <w:sz w:val="20"/>
          <w:szCs w:val="20"/>
          <w:lang w:val="en-US"/>
        </w:rPr>
        <w:t>Z</w:t>
      </w:r>
      <w:r w:rsidR="005C5AA6" w:rsidRPr="00655FF4">
        <w:rPr>
          <w:rFonts w:cstheme="minorHAnsi"/>
          <w:b/>
          <w:color w:val="23236E" w:themeColor="text2"/>
          <w:sz w:val="20"/>
          <w:szCs w:val="20"/>
          <w:lang w:val="en-US"/>
        </w:rPr>
        <w:t>one</w:t>
      </w:r>
      <w:r w:rsidRPr="00655FF4">
        <w:rPr>
          <w:rFonts w:cstheme="minorHAnsi"/>
          <w:b/>
          <w:color w:val="23236E" w:themeColor="text2"/>
          <w:sz w:val="20"/>
          <w:szCs w:val="20"/>
          <w:lang w:val="en-US"/>
        </w:rPr>
        <w:t xml:space="preserve"> </w:t>
      </w:r>
      <w:r w:rsidR="00030228" w:rsidRPr="00655FF4">
        <w:rPr>
          <w:rFonts w:cstheme="minorHAnsi"/>
          <w:b/>
          <w:color w:val="23236E" w:themeColor="text2"/>
          <w:sz w:val="20"/>
          <w:szCs w:val="20"/>
          <w:lang w:val="en-US"/>
        </w:rPr>
        <w:t>border</w:t>
      </w:r>
    </w:p>
    <w:p w14:paraId="5B4EEC16" w14:textId="71B80D05" w:rsidR="00A37790" w:rsidRPr="00655FF4" w:rsidRDefault="00A37790" w:rsidP="00C4554C">
      <w:pPr>
        <w:pStyle w:val="ListParagraph"/>
        <w:numPr>
          <w:ilvl w:val="0"/>
          <w:numId w:val="9"/>
        </w:numPr>
        <w:ind w:left="426" w:hanging="426"/>
        <w:rPr>
          <w:rFonts w:asciiTheme="minorHAnsi" w:hAnsiTheme="minorHAnsi" w:cstheme="minorHAnsi"/>
          <w:sz w:val="20"/>
          <w:szCs w:val="20"/>
          <w:lang w:val="en-US"/>
        </w:rPr>
      </w:pPr>
      <w:r w:rsidRPr="00655FF4">
        <w:rPr>
          <w:rFonts w:asciiTheme="minorHAnsi" w:hAnsiTheme="minorHAnsi" w:cstheme="minorHAnsi"/>
          <w:sz w:val="20"/>
          <w:szCs w:val="20"/>
          <w:lang w:val="en-US"/>
        </w:rPr>
        <w:t xml:space="preserve">In deviation to </w:t>
      </w:r>
      <w:r w:rsidRPr="00812957">
        <w:rPr>
          <w:rFonts w:asciiTheme="minorHAnsi" w:hAnsiTheme="minorHAnsi" w:cstheme="minorHAnsi"/>
          <w:sz w:val="20"/>
          <w:szCs w:val="20"/>
          <w:lang w:val="en-US"/>
        </w:rPr>
        <w:t>Article</w:t>
      </w:r>
      <w:r w:rsidRPr="00655FF4">
        <w:rPr>
          <w:rFonts w:asciiTheme="minorHAnsi" w:hAnsiTheme="minorHAnsi" w:cstheme="minorHAnsi"/>
          <w:sz w:val="20"/>
          <w:szCs w:val="20"/>
          <w:lang w:val="en-US"/>
        </w:rPr>
        <w:t xml:space="preserve"> 2(2), </w:t>
      </w:r>
      <w:r w:rsidRPr="00812957">
        <w:rPr>
          <w:rFonts w:asciiTheme="minorHAnsi" w:hAnsiTheme="minorHAnsi" w:cstheme="minorHAnsi"/>
          <w:sz w:val="20"/>
          <w:szCs w:val="20"/>
          <w:lang w:val="en-US"/>
        </w:rPr>
        <w:t>Article</w:t>
      </w:r>
      <w:r w:rsidRPr="00655FF4">
        <w:rPr>
          <w:rFonts w:asciiTheme="minorHAnsi" w:hAnsiTheme="minorHAnsi" w:cstheme="minorHAnsi"/>
          <w:sz w:val="20"/>
          <w:szCs w:val="20"/>
          <w:lang w:val="en-US"/>
        </w:rPr>
        <w:t xml:space="preserve"> 28(1), </w:t>
      </w:r>
      <w:r w:rsidRPr="00812957">
        <w:rPr>
          <w:rFonts w:asciiTheme="minorHAnsi" w:hAnsiTheme="minorHAnsi" w:cstheme="minorHAnsi"/>
          <w:sz w:val="20"/>
          <w:szCs w:val="20"/>
          <w:lang w:val="en-US"/>
        </w:rPr>
        <w:t>Article</w:t>
      </w:r>
      <w:r w:rsidRPr="00655FF4">
        <w:rPr>
          <w:rFonts w:asciiTheme="minorHAnsi" w:hAnsiTheme="minorHAnsi" w:cstheme="minorHAnsi"/>
          <w:sz w:val="20"/>
          <w:szCs w:val="20"/>
          <w:lang w:val="en-US"/>
        </w:rPr>
        <w:t xml:space="preserve"> 31(1) </w:t>
      </w:r>
      <w:r w:rsidR="00C4554C" w:rsidRPr="00FF0498">
        <w:rPr>
          <w:rFonts w:asciiTheme="minorHAnsi" w:hAnsiTheme="minorHAnsi" w:cstheme="minorHAnsi"/>
          <w:sz w:val="20"/>
          <w:szCs w:val="20"/>
          <w:lang w:val="en-US"/>
        </w:rPr>
        <w:t xml:space="preserve">and </w:t>
      </w:r>
      <w:r w:rsidRPr="00812957">
        <w:rPr>
          <w:rFonts w:asciiTheme="minorHAnsi" w:hAnsiTheme="minorHAnsi" w:cstheme="minorHAnsi"/>
          <w:sz w:val="20"/>
          <w:szCs w:val="20"/>
          <w:lang w:val="en-US"/>
        </w:rPr>
        <w:t>Article</w:t>
      </w:r>
      <w:r w:rsidRPr="00655FF4">
        <w:rPr>
          <w:rFonts w:asciiTheme="minorHAnsi" w:hAnsiTheme="minorHAnsi" w:cstheme="minorHAnsi"/>
          <w:sz w:val="20"/>
          <w:szCs w:val="20"/>
          <w:lang w:val="en-US"/>
        </w:rPr>
        <w:t xml:space="preserve"> 56(1) of the </w:t>
      </w:r>
      <w:r w:rsidR="006E290E" w:rsidRPr="00655FF4">
        <w:rPr>
          <w:rFonts w:asciiTheme="minorHAnsi" w:hAnsiTheme="minorHAnsi" w:cstheme="minorHAnsi"/>
          <w:sz w:val="20"/>
          <w:szCs w:val="20"/>
          <w:lang w:val="en-US"/>
        </w:rPr>
        <w:t>HAR</w:t>
      </w:r>
      <w:r w:rsidRPr="00655FF4">
        <w:rPr>
          <w:rFonts w:asciiTheme="minorHAnsi" w:hAnsiTheme="minorHAnsi" w:cstheme="minorHAnsi"/>
          <w:sz w:val="20"/>
          <w:szCs w:val="20"/>
          <w:lang w:val="en-US"/>
        </w:rPr>
        <w:t xml:space="preserve">, the following border specific </w:t>
      </w:r>
      <w:r w:rsidR="00030228" w:rsidRPr="00655FF4">
        <w:rPr>
          <w:rFonts w:asciiTheme="minorHAnsi" w:hAnsiTheme="minorHAnsi" w:cstheme="minorHAnsi"/>
          <w:sz w:val="20"/>
          <w:szCs w:val="20"/>
          <w:lang w:val="en-US"/>
        </w:rPr>
        <w:t xml:space="preserve">requirements </w:t>
      </w:r>
      <w:r w:rsidRPr="00655FF4">
        <w:rPr>
          <w:rFonts w:asciiTheme="minorHAnsi" w:hAnsiTheme="minorHAnsi" w:cstheme="minorHAnsi"/>
          <w:sz w:val="20"/>
          <w:szCs w:val="20"/>
          <w:lang w:val="en-US"/>
        </w:rPr>
        <w:t xml:space="preserve">as further describer in </w:t>
      </w:r>
      <w:r w:rsidR="00C4554C">
        <w:rPr>
          <w:rFonts w:asciiTheme="minorHAnsi" w:hAnsiTheme="minorHAnsi" w:cstheme="minorHAnsi"/>
          <w:sz w:val="20"/>
          <w:szCs w:val="20"/>
          <w:lang w:val="en-US"/>
        </w:rPr>
        <w:t xml:space="preserve">this </w:t>
      </w:r>
      <w:r w:rsidRPr="00655FF4">
        <w:rPr>
          <w:rFonts w:asciiTheme="minorHAnsi" w:hAnsiTheme="minorHAnsi" w:cstheme="minorHAnsi"/>
          <w:sz w:val="20"/>
          <w:szCs w:val="20"/>
          <w:lang w:val="en-US"/>
        </w:rPr>
        <w:t xml:space="preserve">Article </w:t>
      </w:r>
      <w:r w:rsidR="006F371E" w:rsidRPr="00655FF4">
        <w:rPr>
          <w:rFonts w:asciiTheme="minorHAnsi" w:hAnsiTheme="minorHAnsi" w:cstheme="minorHAnsi"/>
          <w:sz w:val="20"/>
          <w:szCs w:val="20"/>
          <w:lang w:val="en-US"/>
        </w:rPr>
        <w:t xml:space="preserve">6 </w:t>
      </w:r>
      <w:proofErr w:type="gramStart"/>
      <w:r w:rsidRPr="00655FF4">
        <w:rPr>
          <w:rFonts w:asciiTheme="minorHAnsi" w:hAnsiTheme="minorHAnsi" w:cstheme="minorHAnsi"/>
          <w:sz w:val="20"/>
          <w:szCs w:val="20"/>
          <w:lang w:val="en-US"/>
        </w:rPr>
        <w:t>are applied</w:t>
      </w:r>
      <w:proofErr w:type="gramEnd"/>
      <w:r w:rsidRPr="00655FF4">
        <w:rPr>
          <w:rFonts w:asciiTheme="minorHAnsi" w:hAnsiTheme="minorHAnsi" w:cstheme="minorHAnsi"/>
          <w:sz w:val="20"/>
          <w:szCs w:val="20"/>
          <w:lang w:val="en-US"/>
        </w:rPr>
        <w:t xml:space="preserve"> to the Estonia </w:t>
      </w:r>
      <w:r w:rsidR="00030228" w:rsidRPr="00655FF4">
        <w:rPr>
          <w:rFonts w:asciiTheme="minorHAnsi" w:hAnsiTheme="minorHAnsi" w:cstheme="minorHAnsi"/>
          <w:sz w:val="20"/>
          <w:szCs w:val="20"/>
          <w:lang w:val="en-US"/>
        </w:rPr>
        <w:t>–</w:t>
      </w:r>
      <w:r w:rsidR="006F371E" w:rsidRPr="00655FF4">
        <w:rPr>
          <w:rFonts w:asciiTheme="minorHAnsi" w:hAnsiTheme="minorHAnsi" w:cstheme="minorHAnsi"/>
          <w:sz w:val="20"/>
          <w:szCs w:val="20"/>
          <w:lang w:val="en-US"/>
        </w:rPr>
        <w:t xml:space="preserve"> </w:t>
      </w:r>
      <w:r w:rsidRPr="00655FF4">
        <w:rPr>
          <w:rFonts w:asciiTheme="minorHAnsi" w:hAnsiTheme="minorHAnsi" w:cstheme="minorHAnsi"/>
          <w:sz w:val="20"/>
          <w:szCs w:val="20"/>
          <w:lang w:val="en-US"/>
        </w:rPr>
        <w:t>Latvia</w:t>
      </w:r>
      <w:r w:rsidR="00030228" w:rsidRPr="00655FF4">
        <w:rPr>
          <w:rFonts w:asciiTheme="minorHAnsi" w:hAnsiTheme="minorHAnsi" w:cstheme="minorHAnsi"/>
          <w:sz w:val="20"/>
          <w:szCs w:val="20"/>
          <w:lang w:val="en-US"/>
        </w:rPr>
        <w:t xml:space="preserve"> </w:t>
      </w:r>
      <w:r w:rsidR="00FA1158">
        <w:rPr>
          <w:rFonts w:asciiTheme="minorHAnsi" w:hAnsiTheme="minorHAnsi" w:cstheme="minorHAnsi"/>
          <w:sz w:val="20"/>
          <w:szCs w:val="20"/>
          <w:lang w:val="en-US"/>
        </w:rPr>
        <w:t>B</w:t>
      </w:r>
      <w:r w:rsidR="00030228" w:rsidRPr="00655FF4">
        <w:rPr>
          <w:rFonts w:asciiTheme="minorHAnsi" w:hAnsiTheme="minorHAnsi" w:cstheme="minorHAnsi"/>
          <w:sz w:val="20"/>
          <w:szCs w:val="20"/>
          <w:lang w:val="en-US"/>
        </w:rPr>
        <w:t xml:space="preserve">idding </w:t>
      </w:r>
      <w:r w:rsidR="00FA1158">
        <w:rPr>
          <w:rFonts w:asciiTheme="minorHAnsi" w:hAnsiTheme="minorHAnsi" w:cstheme="minorHAnsi"/>
          <w:sz w:val="20"/>
          <w:szCs w:val="20"/>
          <w:lang w:val="en-US"/>
        </w:rPr>
        <w:t>Z</w:t>
      </w:r>
      <w:r w:rsidR="00030228" w:rsidRPr="00655FF4">
        <w:rPr>
          <w:rFonts w:asciiTheme="minorHAnsi" w:hAnsiTheme="minorHAnsi" w:cstheme="minorHAnsi"/>
          <w:sz w:val="20"/>
          <w:szCs w:val="20"/>
          <w:lang w:val="en-US"/>
        </w:rPr>
        <w:t>one border</w:t>
      </w:r>
      <w:r w:rsidRPr="00655FF4">
        <w:rPr>
          <w:rFonts w:asciiTheme="minorHAnsi" w:hAnsiTheme="minorHAnsi" w:cstheme="minorHAnsi"/>
          <w:sz w:val="20"/>
          <w:szCs w:val="20"/>
          <w:lang w:val="en-US"/>
        </w:rPr>
        <w:t>.</w:t>
      </w:r>
    </w:p>
    <w:p w14:paraId="7DC3DC0F" w14:textId="5A05DCA6" w:rsidR="00683400" w:rsidRPr="00655FF4" w:rsidDel="00B621E9" w:rsidRDefault="00683400" w:rsidP="00C4554C">
      <w:pPr>
        <w:pStyle w:val="ListParagraph"/>
        <w:numPr>
          <w:ilvl w:val="0"/>
          <w:numId w:val="9"/>
        </w:numPr>
        <w:ind w:left="426" w:hanging="426"/>
        <w:rPr>
          <w:rFonts w:asciiTheme="minorHAnsi" w:hAnsiTheme="minorHAnsi" w:cstheme="minorHAnsi"/>
          <w:sz w:val="20"/>
          <w:szCs w:val="20"/>
          <w:lang w:val="en-US"/>
        </w:rPr>
      </w:pPr>
      <w:r w:rsidRPr="00655FF4">
        <w:rPr>
          <w:rFonts w:asciiTheme="minorHAnsi" w:hAnsiTheme="minorHAnsi" w:cstheme="minorHAnsi"/>
          <w:sz w:val="20"/>
          <w:szCs w:val="20"/>
          <w:lang w:val="en-US"/>
        </w:rPr>
        <w:t xml:space="preserve">(Article 2(2)) </w:t>
      </w:r>
      <w:r w:rsidRPr="00655FF4" w:rsidDel="00B621E9">
        <w:rPr>
          <w:rFonts w:asciiTheme="minorHAnsi" w:hAnsiTheme="minorHAnsi" w:cstheme="minorHAnsi"/>
          <w:sz w:val="20"/>
          <w:szCs w:val="20"/>
          <w:lang w:val="en-US"/>
        </w:rPr>
        <w:t xml:space="preserve">The </w:t>
      </w:r>
      <w:proofErr w:type="spellStart"/>
      <w:r w:rsidRPr="00655FF4">
        <w:rPr>
          <w:rFonts w:asciiTheme="minorHAnsi" w:hAnsiTheme="minorHAnsi" w:cstheme="minorHAnsi"/>
          <w:sz w:val="20"/>
          <w:szCs w:val="20"/>
          <w:lang w:val="en-US"/>
        </w:rPr>
        <w:t>capitalised</w:t>
      </w:r>
      <w:proofErr w:type="spellEnd"/>
      <w:r w:rsidRPr="00655FF4">
        <w:rPr>
          <w:rFonts w:asciiTheme="minorHAnsi" w:hAnsiTheme="minorHAnsi" w:cstheme="minorHAnsi"/>
          <w:sz w:val="20"/>
          <w:szCs w:val="20"/>
          <w:lang w:val="en-US"/>
        </w:rPr>
        <w:t xml:space="preserve"> terms used in this </w:t>
      </w:r>
      <w:r w:rsidR="00030228" w:rsidRPr="00655FF4">
        <w:rPr>
          <w:rFonts w:asciiTheme="minorHAnsi" w:hAnsiTheme="minorHAnsi" w:cstheme="minorHAnsi"/>
          <w:sz w:val="20"/>
          <w:szCs w:val="20"/>
          <w:lang w:val="en-US"/>
        </w:rPr>
        <w:t>EE-LV Border Specific Annex</w:t>
      </w:r>
      <w:r w:rsidRPr="00655FF4" w:rsidDel="00B621E9">
        <w:rPr>
          <w:rFonts w:asciiTheme="minorHAnsi" w:hAnsiTheme="minorHAnsi" w:cstheme="minorHAnsi"/>
          <w:sz w:val="20"/>
          <w:szCs w:val="20"/>
          <w:lang w:val="en-US"/>
        </w:rPr>
        <w:t xml:space="preserve"> are defined in the </w:t>
      </w:r>
      <w:r w:rsidR="006E290E" w:rsidRPr="00655FF4">
        <w:rPr>
          <w:rFonts w:asciiTheme="minorHAnsi" w:hAnsiTheme="minorHAnsi" w:cstheme="minorHAnsi"/>
          <w:sz w:val="20"/>
          <w:szCs w:val="20"/>
          <w:lang w:val="en-US"/>
        </w:rPr>
        <w:t>HAR</w:t>
      </w:r>
      <w:r w:rsidRPr="00655FF4">
        <w:rPr>
          <w:rFonts w:asciiTheme="minorHAnsi" w:hAnsiTheme="minorHAnsi" w:cstheme="minorHAnsi"/>
          <w:sz w:val="20"/>
          <w:szCs w:val="20"/>
          <w:lang w:val="en-US"/>
        </w:rPr>
        <w:t xml:space="preserve"> to which this </w:t>
      </w:r>
      <w:r w:rsidR="00030228" w:rsidRPr="00655FF4">
        <w:rPr>
          <w:rFonts w:asciiTheme="minorHAnsi" w:hAnsiTheme="minorHAnsi" w:cstheme="minorHAnsi"/>
          <w:sz w:val="20"/>
          <w:szCs w:val="20"/>
          <w:lang w:val="en-US"/>
        </w:rPr>
        <w:t>EE-LV Border Specific Annex</w:t>
      </w:r>
      <w:r w:rsidRPr="00655FF4" w:rsidDel="00B621E9">
        <w:rPr>
          <w:rFonts w:asciiTheme="minorHAnsi" w:hAnsiTheme="minorHAnsi" w:cstheme="minorHAnsi"/>
          <w:sz w:val="20"/>
          <w:szCs w:val="20"/>
          <w:lang w:val="en-US"/>
        </w:rPr>
        <w:t xml:space="preserve"> is attached unless otherwise specified below:</w:t>
      </w:r>
    </w:p>
    <w:p w14:paraId="57BA1DD6" w14:textId="7813A394" w:rsidR="00683400" w:rsidRPr="00507F64" w:rsidRDefault="00030228" w:rsidP="00250191">
      <w:pPr>
        <w:pStyle w:val="ListParagraph"/>
        <w:ind w:left="2694" w:hanging="2268"/>
        <w:rPr>
          <w:rFonts w:asciiTheme="minorHAnsi" w:hAnsiTheme="minorHAnsi" w:cstheme="minorHAnsi"/>
          <w:sz w:val="20"/>
          <w:szCs w:val="20"/>
          <w:lang w:val="en-US"/>
        </w:rPr>
      </w:pPr>
      <w:r w:rsidRPr="00655FF4">
        <w:rPr>
          <w:rFonts w:asciiTheme="minorHAnsi" w:hAnsiTheme="minorHAnsi" w:cstheme="minorHAnsi"/>
          <w:b/>
          <w:sz w:val="20"/>
          <w:szCs w:val="20"/>
          <w:lang w:val="en-US"/>
        </w:rPr>
        <w:t xml:space="preserve">Financial Transmission Right Option </w:t>
      </w:r>
      <w:r w:rsidR="00B27822" w:rsidRPr="00655FF4">
        <w:rPr>
          <w:rFonts w:asciiTheme="minorHAnsi" w:hAnsiTheme="minorHAnsi" w:cstheme="minorHAnsi"/>
          <w:b/>
          <w:sz w:val="20"/>
          <w:szCs w:val="20"/>
          <w:lang w:val="en-US"/>
        </w:rPr>
        <w:t>(FTR-Option)</w:t>
      </w:r>
      <w:r w:rsidR="00683400" w:rsidRPr="00812957">
        <w:rPr>
          <w:rFonts w:asciiTheme="minorHAnsi" w:hAnsiTheme="minorHAnsi" w:cstheme="minorHAnsi"/>
          <w:sz w:val="20"/>
          <w:szCs w:val="20"/>
          <w:lang w:val="en-US"/>
        </w:rPr>
        <w:tab/>
      </w:r>
      <w:r w:rsidRPr="00507F64">
        <w:rPr>
          <w:rFonts w:asciiTheme="minorHAnsi" w:hAnsiTheme="minorHAnsi" w:cstheme="minorHAnsi"/>
          <w:sz w:val="20"/>
          <w:szCs w:val="20"/>
          <w:lang w:val="en-US"/>
        </w:rPr>
        <w:t>means a right entitling its holder to receive a financial remuneration based on the day ahead allocation results between Estonia and Latvia</w:t>
      </w:r>
      <w:r w:rsidRPr="00866290">
        <w:rPr>
          <w:rFonts w:asciiTheme="minorHAnsi" w:hAnsiTheme="minorHAnsi" w:cstheme="minorHAnsi"/>
          <w:sz w:val="20"/>
          <w:szCs w:val="20"/>
          <w:lang w:val="en-US"/>
        </w:rPr>
        <w:t xml:space="preserve"> Bidding Zones during a specified </w:t>
      </w:r>
      <w:proofErr w:type="gramStart"/>
      <w:r w:rsidRPr="00866290">
        <w:rPr>
          <w:rFonts w:asciiTheme="minorHAnsi" w:hAnsiTheme="minorHAnsi" w:cstheme="minorHAnsi"/>
          <w:sz w:val="20"/>
          <w:szCs w:val="20"/>
          <w:lang w:val="en-US"/>
        </w:rPr>
        <w:t>period of time</w:t>
      </w:r>
      <w:proofErr w:type="gramEnd"/>
      <w:r w:rsidRPr="00866290">
        <w:rPr>
          <w:rFonts w:asciiTheme="minorHAnsi" w:hAnsiTheme="minorHAnsi" w:cstheme="minorHAnsi"/>
          <w:sz w:val="20"/>
          <w:szCs w:val="20"/>
          <w:lang w:val="en-US"/>
        </w:rPr>
        <w:t xml:space="preserve"> in direction</w:t>
      </w:r>
      <w:r w:rsidRPr="00FA1158">
        <w:rPr>
          <w:rFonts w:asciiTheme="minorHAnsi" w:hAnsiTheme="minorHAnsi" w:cstheme="minorHAnsi"/>
          <w:sz w:val="20"/>
          <w:szCs w:val="20"/>
          <w:lang w:val="en-US"/>
        </w:rPr>
        <w:t xml:space="preserve"> from Estonia to Latvia</w:t>
      </w:r>
      <w:r w:rsidR="00E771F1">
        <w:rPr>
          <w:rFonts w:asciiTheme="minorHAnsi" w:hAnsiTheme="minorHAnsi" w:cstheme="minorHAnsi"/>
          <w:sz w:val="20"/>
          <w:szCs w:val="20"/>
          <w:lang w:val="en-US"/>
        </w:rPr>
        <w:t xml:space="preserve">. </w:t>
      </w:r>
      <w:r w:rsidR="00683400" w:rsidRPr="00866290">
        <w:rPr>
          <w:rFonts w:asciiTheme="minorHAnsi" w:hAnsiTheme="minorHAnsi" w:cstheme="minorHAnsi"/>
          <w:sz w:val="20"/>
          <w:szCs w:val="20"/>
          <w:lang w:val="en-US"/>
        </w:rPr>
        <w:t xml:space="preserve">The </w:t>
      </w:r>
      <w:r w:rsidR="00683400" w:rsidRPr="006A79AD">
        <w:rPr>
          <w:rFonts w:asciiTheme="minorHAnsi" w:hAnsiTheme="minorHAnsi" w:cstheme="minorHAnsi"/>
          <w:sz w:val="20"/>
          <w:szCs w:val="20"/>
          <w:lang w:val="en-US"/>
        </w:rPr>
        <w:t xml:space="preserve">Estonia – Latvia border </w:t>
      </w:r>
      <w:r w:rsidR="00B27822" w:rsidRPr="00507F64">
        <w:rPr>
          <w:rFonts w:asciiTheme="minorHAnsi" w:hAnsiTheme="minorHAnsi" w:cstheme="minorHAnsi"/>
          <w:sz w:val="20"/>
          <w:szCs w:val="20"/>
          <w:lang w:val="en-US"/>
        </w:rPr>
        <w:t>FTR-Option</w:t>
      </w:r>
      <w:r w:rsidR="00683400" w:rsidRPr="00866290">
        <w:rPr>
          <w:rFonts w:asciiTheme="minorHAnsi" w:hAnsiTheme="minorHAnsi" w:cstheme="minorHAnsi"/>
          <w:sz w:val="20"/>
          <w:szCs w:val="20"/>
          <w:lang w:val="en-US"/>
        </w:rPr>
        <w:t xml:space="preserve"> is denominated in MW with the precision of up to one tenth of a MW (1/10 MW); one (1) </w:t>
      </w:r>
      <w:r w:rsidR="00683400" w:rsidRPr="006A79AD">
        <w:rPr>
          <w:rFonts w:asciiTheme="minorHAnsi" w:hAnsiTheme="minorHAnsi" w:cstheme="minorHAnsi"/>
          <w:sz w:val="20"/>
          <w:szCs w:val="20"/>
          <w:lang w:val="en-US"/>
        </w:rPr>
        <w:t xml:space="preserve">Estonia – Latvia border </w:t>
      </w:r>
      <w:r w:rsidR="00B27822" w:rsidRPr="006A79AD">
        <w:rPr>
          <w:rFonts w:asciiTheme="minorHAnsi" w:hAnsiTheme="minorHAnsi" w:cstheme="minorHAnsi"/>
          <w:sz w:val="20"/>
          <w:szCs w:val="20"/>
          <w:lang w:val="en-US"/>
        </w:rPr>
        <w:t>FTR-Option</w:t>
      </w:r>
      <w:r w:rsidR="00683400" w:rsidRPr="006A79AD">
        <w:rPr>
          <w:rFonts w:asciiTheme="minorHAnsi" w:hAnsiTheme="minorHAnsi" w:cstheme="minorHAnsi"/>
          <w:sz w:val="20"/>
          <w:szCs w:val="20"/>
          <w:lang w:val="en-US"/>
        </w:rPr>
        <w:t xml:space="preserve"> </w:t>
      </w:r>
      <w:r w:rsidR="00683400" w:rsidRPr="00812957">
        <w:rPr>
          <w:rFonts w:asciiTheme="minorHAnsi" w:hAnsiTheme="minorHAnsi" w:cstheme="minorHAnsi"/>
          <w:sz w:val="20"/>
          <w:szCs w:val="20"/>
          <w:lang w:val="en-US"/>
        </w:rPr>
        <w:t xml:space="preserve">corresponds in terms of its economic value to the auctioned </w:t>
      </w:r>
      <w:r w:rsidR="00B27822" w:rsidRPr="00866290">
        <w:rPr>
          <w:rFonts w:asciiTheme="minorHAnsi" w:hAnsiTheme="minorHAnsi" w:cstheme="minorHAnsi"/>
          <w:sz w:val="20"/>
          <w:szCs w:val="20"/>
          <w:lang w:val="en-US"/>
        </w:rPr>
        <w:t xml:space="preserve">Offered </w:t>
      </w:r>
      <w:r w:rsidR="00683400" w:rsidRPr="00866290">
        <w:rPr>
          <w:rFonts w:asciiTheme="minorHAnsi" w:hAnsiTheme="minorHAnsi" w:cstheme="minorHAnsi"/>
          <w:sz w:val="20"/>
          <w:szCs w:val="20"/>
          <w:lang w:val="en-US"/>
        </w:rPr>
        <w:t xml:space="preserve">Capacity for a period of one (1) hour in the volume of one (1) MW. The </w:t>
      </w:r>
      <w:r w:rsidR="00683400" w:rsidRPr="006A79AD">
        <w:rPr>
          <w:rFonts w:asciiTheme="minorHAnsi" w:hAnsiTheme="minorHAnsi" w:cstheme="minorHAnsi"/>
          <w:sz w:val="20"/>
          <w:szCs w:val="20"/>
          <w:lang w:val="en-US"/>
        </w:rPr>
        <w:t xml:space="preserve">Estonia – Latvia border </w:t>
      </w:r>
      <w:r w:rsidR="00B27822" w:rsidRPr="00507F64">
        <w:rPr>
          <w:rFonts w:asciiTheme="minorHAnsi" w:hAnsiTheme="minorHAnsi" w:cstheme="minorHAnsi"/>
          <w:sz w:val="20"/>
          <w:szCs w:val="20"/>
          <w:lang w:val="en-US"/>
        </w:rPr>
        <w:t>FTR-Option</w:t>
      </w:r>
      <w:r w:rsidR="00683400" w:rsidRPr="00866290">
        <w:rPr>
          <w:rFonts w:asciiTheme="minorHAnsi" w:hAnsiTheme="minorHAnsi" w:cstheme="minorHAnsi"/>
          <w:sz w:val="20"/>
          <w:szCs w:val="20"/>
          <w:lang w:val="en-US"/>
        </w:rPr>
        <w:t xml:space="preserve"> shall not at any time give a right to the Registered Participan</w:t>
      </w:r>
      <w:r w:rsidR="00683400" w:rsidRPr="00FA1158">
        <w:rPr>
          <w:rFonts w:asciiTheme="minorHAnsi" w:hAnsiTheme="minorHAnsi" w:cstheme="minorHAnsi"/>
          <w:sz w:val="20"/>
          <w:szCs w:val="20"/>
          <w:lang w:val="en-US"/>
        </w:rPr>
        <w:t xml:space="preserve">t to use the auctioned </w:t>
      </w:r>
      <w:r w:rsidR="00B27822" w:rsidRPr="00E771F1">
        <w:rPr>
          <w:rFonts w:asciiTheme="minorHAnsi" w:hAnsiTheme="minorHAnsi" w:cstheme="minorHAnsi"/>
          <w:sz w:val="20"/>
          <w:szCs w:val="20"/>
          <w:lang w:val="en-US"/>
        </w:rPr>
        <w:t xml:space="preserve">Offered </w:t>
      </w:r>
      <w:r w:rsidR="00683400" w:rsidRPr="00DC5F94">
        <w:rPr>
          <w:rFonts w:asciiTheme="minorHAnsi" w:hAnsiTheme="minorHAnsi" w:cstheme="minorHAnsi"/>
          <w:sz w:val="20"/>
          <w:szCs w:val="20"/>
          <w:lang w:val="en-US"/>
        </w:rPr>
        <w:t xml:space="preserve">Capacity for physical transfer of the electricity. </w:t>
      </w:r>
    </w:p>
    <w:p w14:paraId="7A6D9304" w14:textId="07132037" w:rsidR="00683400" w:rsidRPr="006A79AD" w:rsidRDefault="0038543F" w:rsidP="00566668">
      <w:pPr>
        <w:pStyle w:val="ListParagraph"/>
        <w:numPr>
          <w:ilvl w:val="0"/>
          <w:numId w:val="9"/>
        </w:numPr>
        <w:rPr>
          <w:rFonts w:asciiTheme="minorHAnsi" w:hAnsiTheme="minorHAnsi" w:cstheme="minorHAnsi"/>
          <w:sz w:val="20"/>
          <w:szCs w:val="20"/>
          <w:lang w:val="en-US"/>
        </w:rPr>
      </w:pPr>
      <w:r w:rsidRPr="00812957" w:rsidDel="0038543F">
        <w:rPr>
          <w:rFonts w:asciiTheme="minorHAnsi" w:hAnsiTheme="minorHAnsi" w:cstheme="minorHAnsi"/>
          <w:b/>
          <w:sz w:val="20"/>
          <w:szCs w:val="20"/>
          <w:lang w:val="en-US"/>
        </w:rPr>
        <w:t xml:space="preserve"> </w:t>
      </w:r>
      <w:r w:rsidR="00683400" w:rsidRPr="006A79AD">
        <w:rPr>
          <w:rFonts w:asciiTheme="minorHAnsi" w:hAnsiTheme="minorHAnsi" w:cstheme="minorHAnsi"/>
          <w:sz w:val="20"/>
          <w:szCs w:val="20"/>
          <w:lang w:val="en-US"/>
        </w:rPr>
        <w:t xml:space="preserve">(Article 28(1)) The standard Forward Capacity Allocation timeframes, subject to product availability, are defined as follows: </w:t>
      </w:r>
    </w:p>
    <w:p w14:paraId="58ADF9B0" w14:textId="77777777" w:rsidR="00683400" w:rsidRPr="006A79AD" w:rsidRDefault="00683400" w:rsidP="00566668">
      <w:pPr>
        <w:pStyle w:val="ListParagraph"/>
        <w:numPr>
          <w:ilvl w:val="1"/>
          <w:numId w:val="13"/>
        </w:numPr>
        <w:ind w:left="1134" w:hanging="425"/>
        <w:rPr>
          <w:rFonts w:asciiTheme="minorHAnsi" w:hAnsiTheme="minorHAnsi" w:cstheme="minorHAnsi"/>
          <w:sz w:val="20"/>
          <w:szCs w:val="20"/>
          <w:lang w:val="en-US"/>
        </w:rPr>
      </w:pPr>
      <w:r w:rsidRPr="006A79AD">
        <w:rPr>
          <w:rFonts w:asciiTheme="minorHAnsi" w:hAnsiTheme="minorHAnsi" w:cstheme="minorHAnsi"/>
          <w:sz w:val="20"/>
          <w:szCs w:val="20"/>
          <w:lang w:val="en-US"/>
        </w:rPr>
        <w:t xml:space="preserve">yearly timeframe: it starts on the first day and ends on the last day of a calendar year; </w:t>
      </w:r>
    </w:p>
    <w:p w14:paraId="2550AAE2" w14:textId="77777777" w:rsidR="00683400" w:rsidRPr="006A79AD" w:rsidRDefault="00683400" w:rsidP="00566668">
      <w:pPr>
        <w:pStyle w:val="ListParagraph"/>
        <w:numPr>
          <w:ilvl w:val="1"/>
          <w:numId w:val="13"/>
        </w:numPr>
        <w:ind w:left="1134" w:hanging="425"/>
        <w:rPr>
          <w:rFonts w:asciiTheme="minorHAnsi" w:hAnsiTheme="minorHAnsi" w:cstheme="minorHAnsi"/>
          <w:sz w:val="20"/>
          <w:szCs w:val="20"/>
          <w:lang w:val="en-US"/>
        </w:rPr>
      </w:pPr>
      <w:r w:rsidRPr="006A79AD">
        <w:rPr>
          <w:rFonts w:asciiTheme="minorHAnsi" w:hAnsiTheme="minorHAnsi" w:cstheme="minorHAnsi"/>
          <w:sz w:val="20"/>
          <w:szCs w:val="20"/>
          <w:lang w:val="en-US"/>
        </w:rPr>
        <w:t xml:space="preserve">quarterly timeframe: it starts on the first day and ends on the last day of a quarter (three (3) months); and </w:t>
      </w:r>
    </w:p>
    <w:p w14:paraId="22B860B1" w14:textId="77777777" w:rsidR="00683400" w:rsidRPr="006A79AD" w:rsidRDefault="00683400" w:rsidP="00566668">
      <w:pPr>
        <w:pStyle w:val="ListParagraph"/>
        <w:numPr>
          <w:ilvl w:val="1"/>
          <w:numId w:val="13"/>
        </w:numPr>
        <w:ind w:left="1134" w:hanging="425"/>
        <w:rPr>
          <w:rFonts w:asciiTheme="minorHAnsi" w:hAnsiTheme="minorHAnsi" w:cstheme="minorHAnsi"/>
          <w:sz w:val="20"/>
          <w:szCs w:val="20"/>
          <w:lang w:val="en-US"/>
        </w:rPr>
      </w:pPr>
      <w:proofErr w:type="gramStart"/>
      <w:r w:rsidRPr="006A79AD">
        <w:rPr>
          <w:rFonts w:asciiTheme="minorHAnsi" w:hAnsiTheme="minorHAnsi" w:cstheme="minorHAnsi"/>
          <w:sz w:val="20"/>
          <w:szCs w:val="20"/>
          <w:lang w:val="en-US"/>
        </w:rPr>
        <w:t>monthly</w:t>
      </w:r>
      <w:proofErr w:type="gramEnd"/>
      <w:r w:rsidRPr="006A79AD">
        <w:rPr>
          <w:rFonts w:asciiTheme="minorHAnsi" w:hAnsiTheme="minorHAnsi" w:cstheme="minorHAnsi"/>
          <w:sz w:val="20"/>
          <w:szCs w:val="20"/>
          <w:lang w:val="en-US"/>
        </w:rPr>
        <w:t xml:space="preserve"> timeframe: it starts on the first day and ends on the last day of a calendar month.</w:t>
      </w:r>
    </w:p>
    <w:p w14:paraId="16622FCF" w14:textId="7F0AB847" w:rsidR="00683400" w:rsidRPr="006A79AD" w:rsidRDefault="00683400" w:rsidP="00F239F7">
      <w:pPr>
        <w:pStyle w:val="ListParagraph"/>
        <w:numPr>
          <w:ilvl w:val="0"/>
          <w:numId w:val="9"/>
        </w:numPr>
        <w:rPr>
          <w:rFonts w:asciiTheme="minorHAnsi" w:hAnsiTheme="minorHAnsi" w:cstheme="minorHAnsi"/>
          <w:sz w:val="20"/>
          <w:szCs w:val="20"/>
          <w:lang w:val="en-US"/>
        </w:rPr>
      </w:pPr>
      <w:r w:rsidRPr="006A79AD">
        <w:rPr>
          <w:rFonts w:asciiTheme="minorHAnsi" w:hAnsiTheme="minorHAnsi" w:cstheme="minorHAnsi"/>
          <w:sz w:val="20"/>
          <w:szCs w:val="20"/>
          <w:lang w:val="en-US"/>
        </w:rPr>
        <w:t>(Article 31(1)) The Registered Participant shall submit a Bid or set of Bids to the Allocation Platform</w:t>
      </w:r>
      <w:r w:rsidR="00567718">
        <w:rPr>
          <w:rFonts w:asciiTheme="minorHAnsi" w:hAnsiTheme="minorHAnsi" w:cstheme="minorHAnsi"/>
          <w:sz w:val="20"/>
          <w:szCs w:val="20"/>
          <w:lang w:val="en-US"/>
        </w:rPr>
        <w:t xml:space="preserve"> </w:t>
      </w:r>
      <w:r w:rsidRPr="006A79AD">
        <w:rPr>
          <w:rFonts w:asciiTheme="minorHAnsi" w:hAnsiTheme="minorHAnsi" w:cstheme="minorHAnsi"/>
          <w:sz w:val="20"/>
          <w:szCs w:val="20"/>
          <w:lang w:val="en-US"/>
        </w:rPr>
        <w:t xml:space="preserve">in </w:t>
      </w:r>
      <w:r w:rsidR="00567718">
        <w:rPr>
          <w:rFonts w:asciiTheme="minorHAnsi" w:hAnsiTheme="minorHAnsi" w:cstheme="minorHAnsi"/>
          <w:sz w:val="20"/>
          <w:szCs w:val="20"/>
          <w:lang w:val="en-US"/>
        </w:rPr>
        <w:t xml:space="preserve">accordance with the </w:t>
      </w:r>
      <w:r w:rsidR="00567718" w:rsidRPr="00812957">
        <w:rPr>
          <w:rFonts w:asciiTheme="minorHAnsi" w:hAnsiTheme="minorHAnsi" w:cstheme="minorHAnsi"/>
          <w:sz w:val="20"/>
          <w:szCs w:val="20"/>
          <w:lang w:val="en-US"/>
        </w:rPr>
        <w:t xml:space="preserve">requirements </w:t>
      </w:r>
      <w:r w:rsidR="00567718">
        <w:rPr>
          <w:rFonts w:asciiTheme="minorHAnsi" w:hAnsiTheme="minorHAnsi" w:cstheme="minorHAnsi"/>
          <w:sz w:val="20"/>
          <w:szCs w:val="20"/>
          <w:lang w:val="en-US"/>
        </w:rPr>
        <w:t xml:space="preserve">defined </w:t>
      </w:r>
      <w:r w:rsidR="00567718" w:rsidRPr="00812957">
        <w:rPr>
          <w:rFonts w:asciiTheme="minorHAnsi" w:hAnsiTheme="minorHAnsi" w:cstheme="minorHAnsi"/>
          <w:sz w:val="20"/>
          <w:szCs w:val="20"/>
          <w:lang w:val="en-US"/>
        </w:rPr>
        <w:t xml:space="preserve">in the </w:t>
      </w:r>
      <w:r w:rsidR="00567718" w:rsidRPr="00507F64">
        <w:rPr>
          <w:rFonts w:asciiTheme="minorHAnsi" w:hAnsiTheme="minorHAnsi" w:cstheme="minorHAnsi"/>
          <w:sz w:val="20"/>
          <w:szCs w:val="20"/>
          <w:lang w:val="en-US"/>
        </w:rPr>
        <w:t>HAR</w:t>
      </w:r>
      <w:r w:rsidR="00567718" w:rsidRPr="006A79AD">
        <w:rPr>
          <w:rFonts w:asciiTheme="minorHAnsi" w:hAnsiTheme="minorHAnsi" w:cstheme="minorHAnsi"/>
          <w:sz w:val="20"/>
          <w:szCs w:val="20"/>
          <w:lang w:val="en-US"/>
        </w:rPr>
        <w:t xml:space="preserve"> </w:t>
      </w:r>
      <w:r w:rsidR="00567718">
        <w:rPr>
          <w:rFonts w:asciiTheme="minorHAnsi" w:hAnsiTheme="minorHAnsi" w:cstheme="minorHAnsi"/>
          <w:sz w:val="20"/>
          <w:szCs w:val="20"/>
          <w:lang w:val="en-US"/>
        </w:rPr>
        <w:t xml:space="preserve">and </w:t>
      </w:r>
      <w:r w:rsidRPr="006A79AD">
        <w:rPr>
          <w:rFonts w:asciiTheme="minorHAnsi" w:hAnsiTheme="minorHAnsi" w:cstheme="minorHAnsi"/>
          <w:sz w:val="20"/>
          <w:szCs w:val="20"/>
          <w:lang w:val="en-US"/>
        </w:rPr>
        <w:t>addition</w:t>
      </w:r>
      <w:r w:rsidR="00567718">
        <w:rPr>
          <w:rFonts w:asciiTheme="minorHAnsi" w:hAnsiTheme="minorHAnsi" w:cstheme="minorHAnsi"/>
          <w:sz w:val="20"/>
          <w:szCs w:val="20"/>
          <w:lang w:val="en-US"/>
        </w:rPr>
        <w:t xml:space="preserve">ally with </w:t>
      </w:r>
      <w:r w:rsidRPr="00812957">
        <w:rPr>
          <w:rFonts w:asciiTheme="minorHAnsi" w:hAnsiTheme="minorHAnsi" w:cstheme="minorHAnsi"/>
          <w:sz w:val="20"/>
          <w:szCs w:val="20"/>
          <w:lang w:val="en-US"/>
        </w:rPr>
        <w:t>the</w:t>
      </w:r>
      <w:r w:rsidRPr="006A79AD">
        <w:rPr>
          <w:rFonts w:asciiTheme="minorHAnsi" w:hAnsiTheme="minorHAnsi" w:cstheme="minorHAnsi"/>
          <w:sz w:val="20"/>
          <w:szCs w:val="20"/>
          <w:lang w:val="en-US"/>
        </w:rPr>
        <w:t xml:space="preserve"> following requirements: </w:t>
      </w:r>
    </w:p>
    <w:p w14:paraId="4FD0D2F1" w14:textId="67154DC2" w:rsidR="003A1FFE" w:rsidRPr="006A79AD" w:rsidRDefault="003A1FFE" w:rsidP="003A1FFE">
      <w:pPr>
        <w:pStyle w:val="ListParagraph"/>
        <w:numPr>
          <w:ilvl w:val="0"/>
          <w:numId w:val="27"/>
        </w:numPr>
        <w:rPr>
          <w:rFonts w:asciiTheme="minorHAnsi" w:hAnsiTheme="minorHAnsi" w:cstheme="minorHAnsi"/>
          <w:sz w:val="20"/>
          <w:szCs w:val="20"/>
          <w:lang w:val="en-US"/>
        </w:rPr>
      </w:pPr>
      <w:r w:rsidRPr="006A79AD">
        <w:rPr>
          <w:rFonts w:asciiTheme="minorHAnsi" w:hAnsiTheme="minorHAnsi" w:cstheme="minorHAnsi"/>
          <w:sz w:val="20"/>
          <w:szCs w:val="20"/>
          <w:lang w:val="en-US"/>
        </w:rPr>
        <w:t>it shall state the Bid Quantity in MW which must be expressed with preci</w:t>
      </w:r>
      <w:r w:rsidR="00B05571" w:rsidRPr="006A79AD">
        <w:rPr>
          <w:rFonts w:asciiTheme="minorHAnsi" w:hAnsiTheme="minorHAnsi" w:cstheme="minorHAnsi"/>
          <w:sz w:val="20"/>
          <w:szCs w:val="20"/>
          <w:lang w:val="en-US"/>
        </w:rPr>
        <w:t>s</w:t>
      </w:r>
      <w:r w:rsidRPr="006A79AD">
        <w:rPr>
          <w:rFonts w:asciiTheme="minorHAnsi" w:hAnsiTheme="minorHAnsi" w:cstheme="minorHAnsi"/>
          <w:sz w:val="20"/>
          <w:szCs w:val="20"/>
          <w:lang w:val="en-US"/>
        </w:rPr>
        <w:t>ion of one decimal, minimum amount of a single Bid is zero point one (0,1) MW</w:t>
      </w:r>
      <w:r w:rsidR="005C5AA6" w:rsidRPr="006A79AD">
        <w:rPr>
          <w:rFonts w:asciiTheme="minorHAnsi" w:hAnsiTheme="minorHAnsi" w:cstheme="minorHAnsi"/>
          <w:sz w:val="20"/>
          <w:szCs w:val="20"/>
          <w:lang w:val="en-US"/>
        </w:rPr>
        <w:t>;</w:t>
      </w:r>
    </w:p>
    <w:p w14:paraId="46E4501A" w14:textId="4978803E" w:rsidR="00683400" w:rsidRPr="006A79AD" w:rsidRDefault="00683400" w:rsidP="00163892">
      <w:pPr>
        <w:pStyle w:val="ListParagraph"/>
        <w:numPr>
          <w:ilvl w:val="0"/>
          <w:numId w:val="27"/>
        </w:numPr>
        <w:rPr>
          <w:rFonts w:asciiTheme="minorHAnsi" w:hAnsiTheme="minorHAnsi" w:cstheme="minorHAnsi"/>
          <w:sz w:val="20"/>
          <w:szCs w:val="20"/>
          <w:lang w:val="en-US"/>
        </w:rPr>
      </w:pPr>
      <w:proofErr w:type="gramStart"/>
      <w:r w:rsidRPr="006A79AD">
        <w:rPr>
          <w:rFonts w:asciiTheme="minorHAnsi" w:hAnsiTheme="minorHAnsi" w:cstheme="minorHAnsi"/>
          <w:sz w:val="20"/>
          <w:szCs w:val="20"/>
          <w:lang w:val="en-US"/>
        </w:rPr>
        <w:t>maximum</w:t>
      </w:r>
      <w:proofErr w:type="gramEnd"/>
      <w:r w:rsidRPr="006A79AD">
        <w:rPr>
          <w:rFonts w:asciiTheme="minorHAnsi" w:hAnsiTheme="minorHAnsi" w:cstheme="minorHAnsi"/>
          <w:sz w:val="20"/>
          <w:szCs w:val="20"/>
          <w:lang w:val="en-US"/>
        </w:rPr>
        <w:t xml:space="preserve"> volume of Bid </w:t>
      </w:r>
      <w:r w:rsidR="00646F72" w:rsidRPr="006A79AD">
        <w:rPr>
          <w:rFonts w:asciiTheme="minorHAnsi" w:hAnsiTheme="minorHAnsi" w:cstheme="minorHAnsi"/>
          <w:sz w:val="20"/>
          <w:szCs w:val="20"/>
          <w:lang w:val="en-US"/>
        </w:rPr>
        <w:t xml:space="preserve">Quantity </w:t>
      </w:r>
      <w:r w:rsidRPr="006A79AD">
        <w:rPr>
          <w:rFonts w:asciiTheme="minorHAnsi" w:hAnsiTheme="minorHAnsi" w:cstheme="minorHAnsi"/>
          <w:sz w:val="20"/>
          <w:szCs w:val="20"/>
          <w:lang w:val="en-US"/>
        </w:rPr>
        <w:t xml:space="preserve">per </w:t>
      </w:r>
      <w:r w:rsidRPr="00812957">
        <w:rPr>
          <w:rFonts w:asciiTheme="minorHAnsi" w:hAnsiTheme="minorHAnsi" w:cstheme="minorHAnsi"/>
          <w:sz w:val="20"/>
          <w:szCs w:val="20"/>
          <w:lang w:val="en-US"/>
        </w:rPr>
        <w:t xml:space="preserve">Registered </w:t>
      </w:r>
      <w:r w:rsidRPr="006A79AD">
        <w:rPr>
          <w:rFonts w:asciiTheme="minorHAnsi" w:hAnsiTheme="minorHAnsi" w:cstheme="minorHAnsi"/>
          <w:sz w:val="20"/>
          <w:szCs w:val="20"/>
          <w:lang w:val="en-US"/>
        </w:rPr>
        <w:t>Participant is one third</w:t>
      </w:r>
      <w:r w:rsidRPr="006A79AD" w:rsidDel="00472C8D">
        <w:rPr>
          <w:rFonts w:asciiTheme="minorHAnsi" w:hAnsiTheme="minorHAnsi" w:cstheme="minorHAnsi"/>
          <w:sz w:val="20"/>
          <w:szCs w:val="20"/>
          <w:lang w:val="en-US"/>
        </w:rPr>
        <w:t xml:space="preserve"> </w:t>
      </w:r>
      <w:r w:rsidRPr="006A79AD">
        <w:rPr>
          <w:rFonts w:asciiTheme="minorHAnsi" w:hAnsiTheme="minorHAnsi" w:cstheme="minorHAnsi"/>
          <w:sz w:val="20"/>
          <w:szCs w:val="20"/>
          <w:lang w:val="en-US"/>
        </w:rPr>
        <w:t xml:space="preserve">(1/3) of the </w:t>
      </w:r>
      <w:r w:rsidR="003A1FFE" w:rsidRPr="006A79AD">
        <w:rPr>
          <w:rFonts w:asciiTheme="minorHAnsi" w:hAnsiTheme="minorHAnsi" w:cstheme="minorHAnsi"/>
          <w:sz w:val="20"/>
          <w:szCs w:val="20"/>
          <w:lang w:val="en-US"/>
        </w:rPr>
        <w:t xml:space="preserve">Offered </w:t>
      </w:r>
      <w:r w:rsidRPr="006A79AD">
        <w:rPr>
          <w:rFonts w:asciiTheme="minorHAnsi" w:hAnsiTheme="minorHAnsi" w:cstheme="minorHAnsi"/>
          <w:sz w:val="20"/>
          <w:szCs w:val="20"/>
          <w:lang w:val="en-US"/>
        </w:rPr>
        <w:t>Capacity</w:t>
      </w:r>
      <w:r w:rsidR="005C5AA6" w:rsidRPr="006A79AD">
        <w:rPr>
          <w:rFonts w:asciiTheme="minorHAnsi" w:hAnsiTheme="minorHAnsi" w:cstheme="minorHAnsi"/>
          <w:sz w:val="20"/>
          <w:szCs w:val="20"/>
          <w:lang w:val="en-US"/>
        </w:rPr>
        <w:t>.</w:t>
      </w:r>
    </w:p>
    <w:p w14:paraId="2D0F2F48" w14:textId="0ADDC890" w:rsidR="00683400" w:rsidRPr="0038543F" w:rsidRDefault="00683400" w:rsidP="00250191">
      <w:pPr>
        <w:pStyle w:val="ListParagraph"/>
        <w:numPr>
          <w:ilvl w:val="0"/>
          <w:numId w:val="9"/>
        </w:numPr>
        <w:rPr>
          <w:rFonts w:asciiTheme="minorHAnsi" w:hAnsiTheme="minorHAnsi" w:cstheme="minorHAnsi"/>
          <w:sz w:val="20"/>
          <w:szCs w:val="20"/>
          <w:lang w:val="en-US"/>
        </w:rPr>
      </w:pPr>
      <w:r w:rsidRPr="006A79AD">
        <w:rPr>
          <w:rFonts w:asciiTheme="minorHAnsi" w:hAnsiTheme="minorHAnsi" w:cstheme="minorHAnsi"/>
          <w:sz w:val="20"/>
          <w:szCs w:val="20"/>
          <w:lang w:val="en-US"/>
        </w:rPr>
        <w:t xml:space="preserve">(Article 56(1)) Long Term Transmission Rights irrespectively of the </w:t>
      </w:r>
      <w:r w:rsidR="00250191" w:rsidRPr="006A79AD">
        <w:rPr>
          <w:rFonts w:asciiTheme="minorHAnsi" w:hAnsiTheme="minorHAnsi" w:cstheme="minorHAnsi"/>
          <w:sz w:val="20"/>
          <w:szCs w:val="20"/>
          <w:lang w:val="en-US"/>
        </w:rPr>
        <w:t>Forward Capacity Allocation timeframes</w:t>
      </w:r>
      <w:r w:rsidR="00250191" w:rsidRPr="006A79AD" w:rsidDel="00250191">
        <w:rPr>
          <w:rFonts w:asciiTheme="minorHAnsi" w:hAnsiTheme="minorHAnsi" w:cstheme="minorHAnsi"/>
          <w:sz w:val="20"/>
          <w:szCs w:val="20"/>
          <w:lang w:val="en-US"/>
        </w:rPr>
        <w:t xml:space="preserve"> </w:t>
      </w:r>
      <w:proofErr w:type="gramStart"/>
      <w:r w:rsidRPr="0038543F">
        <w:rPr>
          <w:rFonts w:asciiTheme="minorHAnsi" w:hAnsiTheme="minorHAnsi" w:cstheme="minorHAnsi"/>
          <w:sz w:val="20"/>
          <w:szCs w:val="20"/>
          <w:lang w:val="en-US"/>
        </w:rPr>
        <w:t>may be curtailed</w:t>
      </w:r>
      <w:proofErr w:type="gramEnd"/>
      <w:r w:rsidRPr="0038543F">
        <w:rPr>
          <w:rFonts w:asciiTheme="minorHAnsi" w:hAnsiTheme="minorHAnsi" w:cstheme="minorHAnsi"/>
          <w:sz w:val="20"/>
          <w:szCs w:val="20"/>
          <w:lang w:val="en-US"/>
        </w:rPr>
        <w:t xml:space="preserve"> only in the event of Force Majeure.</w:t>
      </w:r>
    </w:p>
    <w:p w14:paraId="612977E3" w14:textId="62AA5B6F" w:rsidR="00BA127A" w:rsidRPr="006A79AD" w:rsidRDefault="00163892" w:rsidP="00F728EF">
      <w:pPr>
        <w:rPr>
          <w:rFonts w:cstheme="minorHAnsi"/>
          <w:sz w:val="20"/>
          <w:szCs w:val="20"/>
          <w:highlight w:val="yellow"/>
          <w:lang w:val="en-US"/>
        </w:rPr>
      </w:pPr>
      <w:r w:rsidRPr="0038543F" w:rsidDel="00163892">
        <w:rPr>
          <w:rFonts w:eastAsia="Calibri" w:cstheme="minorHAnsi"/>
          <w:sz w:val="20"/>
          <w:szCs w:val="20"/>
          <w:lang w:val="en-US"/>
        </w:rPr>
        <w:t xml:space="preserve"> </w:t>
      </w:r>
    </w:p>
    <w:p w14:paraId="0EE93D0C" w14:textId="77777777" w:rsidR="00B5799F" w:rsidRPr="006A79AD" w:rsidRDefault="00B5799F" w:rsidP="00B5799F">
      <w:pPr>
        <w:spacing w:after="120" w:line="259" w:lineRule="auto"/>
        <w:contextualSpacing/>
        <w:jc w:val="both"/>
        <w:rPr>
          <w:rFonts w:cstheme="minorHAnsi"/>
          <w:sz w:val="20"/>
          <w:szCs w:val="20"/>
          <w:lang w:val="en-US"/>
        </w:rPr>
      </w:pPr>
    </w:p>
    <w:sectPr w:rsidR="00B5799F" w:rsidRPr="006A79AD" w:rsidSect="00655FF4">
      <w:headerReference w:type="default" r:id="rId8"/>
      <w:footerReference w:type="default" r:id="rId9"/>
      <w:footerReference w:type="first" r:id="rId10"/>
      <w:pgSz w:w="11906" w:h="16838"/>
      <w:pgMar w:top="1814" w:right="1021" w:bottom="1701" w:left="1361"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94C0" w14:textId="77777777" w:rsidR="00245C93" w:rsidRDefault="00245C93" w:rsidP="00B04144">
      <w:r>
        <w:separator/>
      </w:r>
    </w:p>
    <w:p w14:paraId="1A9B6FE1" w14:textId="77777777" w:rsidR="00245C93" w:rsidRDefault="00245C93"/>
    <w:p w14:paraId="581FD464" w14:textId="77777777" w:rsidR="00245C93" w:rsidRDefault="00245C93"/>
  </w:endnote>
  <w:endnote w:type="continuationSeparator" w:id="0">
    <w:p w14:paraId="75A2F0B1" w14:textId="77777777" w:rsidR="00245C93" w:rsidRDefault="00245C93" w:rsidP="00B04144">
      <w:r>
        <w:continuationSeparator/>
      </w:r>
    </w:p>
    <w:p w14:paraId="06F8A6B2" w14:textId="77777777" w:rsidR="00245C93" w:rsidRDefault="00245C93"/>
    <w:p w14:paraId="0C1FBFD4" w14:textId="77777777" w:rsidR="00245C93" w:rsidRDefault="00245C93"/>
  </w:endnote>
  <w:endnote w:type="continuationNotice" w:id="1">
    <w:p w14:paraId="080A7957" w14:textId="77777777" w:rsidR="00245C93" w:rsidRDefault="00245C93"/>
    <w:p w14:paraId="14DDB229" w14:textId="77777777" w:rsidR="00245C93" w:rsidRDefault="00245C93"/>
    <w:p w14:paraId="1808812D" w14:textId="77777777" w:rsidR="00245C93" w:rsidRDefault="00245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B566B7" w:rsidRPr="00163012" w14:paraId="4E09BE75" w14:textId="77777777" w:rsidTr="003D0965">
      <w:trPr>
        <w:trHeight w:hRule="exact" w:val="284"/>
      </w:trPr>
      <w:tc>
        <w:tcPr>
          <w:tcW w:w="9923" w:type="dxa"/>
          <w:vAlign w:val="center"/>
        </w:tcPr>
        <w:p w14:paraId="2FBF0403" w14:textId="77777777" w:rsidR="00B566B7" w:rsidRPr="003D0965" w:rsidRDefault="00B566B7" w:rsidP="00CD009F">
          <w:pPr>
            <w:pStyle w:val="Footer"/>
            <w:rPr>
              <w:rFonts w:asciiTheme="majorHAnsi" w:hAnsiTheme="majorHAnsi" w:cstheme="majorHAnsi"/>
              <w:sz w:val="14"/>
              <w:szCs w:val="14"/>
              <w:lang w:val="de-DE"/>
            </w:rPr>
          </w:pPr>
        </w:p>
      </w:tc>
    </w:tr>
  </w:tbl>
  <w:tbl>
    <w:tblPr>
      <w:tblStyle w:val="TableGrid"/>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B566B7" w14:paraId="2F6B175A" w14:textId="77777777" w:rsidTr="003D0965">
      <w:trPr>
        <w:trHeight w:hRule="exact" w:val="284"/>
      </w:trPr>
      <w:tc>
        <w:tcPr>
          <w:tcW w:w="624" w:type="dxa"/>
        </w:tcPr>
        <w:p w14:paraId="66DC6066" w14:textId="608E55A7" w:rsidR="00B566B7" w:rsidRDefault="00B566B7" w:rsidP="00F80655">
          <w:pPr>
            <w:pStyle w:val="Footer"/>
            <w:jc w:val="right"/>
          </w:pPr>
          <w:r>
            <w:fldChar w:fldCharType="begin"/>
          </w:r>
          <w:r>
            <w:instrText xml:space="preserve"> PAGE   \* MERGEFORMAT </w:instrText>
          </w:r>
          <w:r>
            <w:fldChar w:fldCharType="separate"/>
          </w:r>
          <w:r w:rsidR="009D0CBF">
            <w:rPr>
              <w:noProof/>
            </w:rPr>
            <w:t>4</w:t>
          </w:r>
          <w:r>
            <w:rPr>
              <w:noProof/>
            </w:rPr>
            <w:fldChar w:fldCharType="end"/>
          </w:r>
        </w:p>
      </w:tc>
    </w:tr>
  </w:tbl>
  <w:p w14:paraId="3A6B998F" w14:textId="77777777" w:rsidR="00B566B7" w:rsidRPr="003D0965" w:rsidRDefault="00B566B7" w:rsidP="003D0965">
    <w:pPr>
      <w:pStyle w:val="Footer"/>
    </w:pPr>
  </w:p>
  <w:p w14:paraId="2D85F70A" w14:textId="77777777" w:rsidR="009C4F08" w:rsidRDefault="009C4F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B566B7" w:rsidRPr="00163012" w14:paraId="3D817A64" w14:textId="77777777" w:rsidTr="003D0965">
      <w:trPr>
        <w:trHeight w:hRule="exact" w:val="284"/>
      </w:trPr>
      <w:tc>
        <w:tcPr>
          <w:tcW w:w="9923" w:type="dxa"/>
          <w:vAlign w:val="center"/>
        </w:tcPr>
        <w:p w14:paraId="00A7B96F" w14:textId="77777777" w:rsidR="00B566B7" w:rsidRPr="00CB14AB" w:rsidRDefault="00B566B7" w:rsidP="003D0965">
          <w:pPr>
            <w:pStyle w:val="Footer"/>
            <w:rPr>
              <w:rFonts w:asciiTheme="majorHAnsi" w:hAnsiTheme="majorHAnsi" w:cstheme="majorHAnsi"/>
              <w:sz w:val="14"/>
              <w:szCs w:val="14"/>
              <w:lang w:val="fr-FR"/>
            </w:rPr>
          </w:pPr>
        </w:p>
      </w:tc>
    </w:tr>
  </w:tbl>
  <w:p w14:paraId="2B412878" w14:textId="77777777" w:rsidR="00B566B7" w:rsidRDefault="00B5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D987" w14:textId="77777777" w:rsidR="00245C93" w:rsidRDefault="00245C93" w:rsidP="00B04144">
      <w:r>
        <w:separator/>
      </w:r>
    </w:p>
    <w:p w14:paraId="3326D44E" w14:textId="77777777" w:rsidR="00245C93" w:rsidRDefault="00245C93"/>
    <w:p w14:paraId="73AB7A04" w14:textId="77777777" w:rsidR="00245C93" w:rsidRDefault="00245C93"/>
  </w:footnote>
  <w:footnote w:type="continuationSeparator" w:id="0">
    <w:p w14:paraId="641422B1" w14:textId="77777777" w:rsidR="00245C93" w:rsidRDefault="00245C93" w:rsidP="00B04144">
      <w:r>
        <w:continuationSeparator/>
      </w:r>
    </w:p>
    <w:p w14:paraId="7383C3CD" w14:textId="77777777" w:rsidR="00245C93" w:rsidRDefault="00245C93"/>
    <w:p w14:paraId="20FB9812" w14:textId="77777777" w:rsidR="00245C93" w:rsidRDefault="00245C93"/>
  </w:footnote>
  <w:footnote w:type="continuationNotice" w:id="1">
    <w:p w14:paraId="464F4855" w14:textId="77777777" w:rsidR="00245C93" w:rsidRDefault="00245C93"/>
    <w:p w14:paraId="6A96B2BA" w14:textId="77777777" w:rsidR="00245C93" w:rsidRDefault="00245C93"/>
    <w:p w14:paraId="32537F35" w14:textId="77777777" w:rsidR="00245C93" w:rsidRDefault="00245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12"/>
    </w:tblGrid>
    <w:tr w:rsidR="00B566B7" w:rsidRPr="00696EBB" w14:paraId="3504C929" w14:textId="77777777" w:rsidTr="00655FF4">
      <w:trPr>
        <w:trHeight w:hRule="exact" w:val="1134"/>
      </w:trPr>
      <w:tc>
        <w:tcPr>
          <w:tcW w:w="6612" w:type="dxa"/>
        </w:tcPr>
        <w:p w14:paraId="6FDE0F7B" w14:textId="2445CB8F" w:rsidR="00B566B7" w:rsidRPr="005A0220" w:rsidRDefault="0001314B" w:rsidP="00AF0502">
          <w:pPr>
            <w:rPr>
              <w:sz w:val="20"/>
              <w:szCs w:val="20"/>
            </w:rPr>
          </w:pPr>
          <w:r>
            <w:rPr>
              <w:sz w:val="20"/>
              <w:szCs w:val="20"/>
            </w:rPr>
            <w:t>Estonia-Latvia Bidding Zone Border Specific</w:t>
          </w:r>
          <w:r w:rsidR="00495694" w:rsidRPr="005A0220">
            <w:rPr>
              <w:sz w:val="20"/>
              <w:szCs w:val="20"/>
            </w:rPr>
            <w:t xml:space="preserve"> Annex for </w:t>
          </w:r>
          <w:r w:rsidR="00AF0502">
            <w:rPr>
              <w:sz w:val="20"/>
              <w:szCs w:val="20"/>
            </w:rPr>
            <w:t xml:space="preserve">the </w:t>
          </w:r>
          <w:r w:rsidR="003A43F1" w:rsidRPr="005969C7">
            <w:rPr>
              <w:sz w:val="20"/>
              <w:szCs w:val="20"/>
              <w:lang w:val="lv-LV"/>
            </w:rPr>
            <w:t>Baltic Capacity Calculation Region</w:t>
          </w:r>
          <w:r w:rsidR="00495694" w:rsidRPr="005A0220">
            <w:rPr>
              <w:sz w:val="20"/>
              <w:szCs w:val="20"/>
            </w:rPr>
            <w:t xml:space="preserve"> to the </w:t>
          </w:r>
          <w:r w:rsidR="00DD5822">
            <w:rPr>
              <w:sz w:val="20"/>
              <w:szCs w:val="20"/>
            </w:rPr>
            <w:t xml:space="preserve">All TSOs' Proposal for </w:t>
          </w:r>
          <w:r w:rsidR="00495694" w:rsidRPr="005A0220">
            <w:rPr>
              <w:sz w:val="20"/>
              <w:szCs w:val="20"/>
            </w:rPr>
            <w:t xml:space="preserve">Harmonised Allocation Rules for </w:t>
          </w:r>
          <w:r w:rsidR="00AF0502">
            <w:rPr>
              <w:sz w:val="20"/>
              <w:szCs w:val="20"/>
            </w:rPr>
            <w:t>L</w:t>
          </w:r>
          <w:r w:rsidR="00495694" w:rsidRPr="005A0220">
            <w:rPr>
              <w:sz w:val="20"/>
              <w:szCs w:val="20"/>
            </w:rPr>
            <w:t xml:space="preserve">ong-term </w:t>
          </w:r>
          <w:r w:rsidR="00AF0502">
            <w:rPr>
              <w:sz w:val="20"/>
              <w:szCs w:val="20"/>
            </w:rPr>
            <w:t>T</w:t>
          </w:r>
          <w:r w:rsidR="00495694" w:rsidRPr="005A0220">
            <w:rPr>
              <w:sz w:val="20"/>
              <w:szCs w:val="20"/>
            </w:rPr>
            <w:t xml:space="preserve">ransmission </w:t>
          </w:r>
          <w:r w:rsidR="00AF0502">
            <w:rPr>
              <w:sz w:val="20"/>
              <w:szCs w:val="20"/>
            </w:rPr>
            <w:t>R</w:t>
          </w:r>
          <w:r w:rsidR="00495694" w:rsidRPr="005A0220">
            <w:rPr>
              <w:sz w:val="20"/>
              <w:szCs w:val="20"/>
            </w:rPr>
            <w:t xml:space="preserve">ights in </w:t>
          </w:r>
          <w:r w:rsidR="00AF0502">
            <w:rPr>
              <w:sz w:val="20"/>
              <w:szCs w:val="20"/>
            </w:rPr>
            <w:t>A</w:t>
          </w:r>
          <w:r w:rsidR="00495694" w:rsidRPr="005A0220">
            <w:rPr>
              <w:sz w:val="20"/>
              <w:szCs w:val="20"/>
            </w:rPr>
            <w:t>ccordance with Article 52</w:t>
          </w:r>
          <w:r>
            <w:rPr>
              <w:sz w:val="20"/>
              <w:szCs w:val="20"/>
            </w:rPr>
            <w:t>(3)</w:t>
          </w:r>
          <w:r w:rsidR="00495694" w:rsidRPr="005A0220">
            <w:rPr>
              <w:sz w:val="20"/>
              <w:szCs w:val="20"/>
            </w:rPr>
            <w:t xml:space="preserve"> of </w:t>
          </w:r>
          <w:proofErr w:type="spellStart"/>
          <w:r w:rsidR="00495694" w:rsidRPr="005A0220">
            <w:rPr>
              <w:sz w:val="20"/>
              <w:szCs w:val="20"/>
            </w:rPr>
            <w:t>Commision</w:t>
          </w:r>
          <w:proofErr w:type="spellEnd"/>
          <w:r w:rsidR="00495694" w:rsidRPr="005A0220">
            <w:rPr>
              <w:sz w:val="20"/>
              <w:szCs w:val="20"/>
            </w:rPr>
            <w:t xml:space="preserve"> Regulation (EU) 2016/1719 of 26 September 2016 </w:t>
          </w:r>
          <w:r w:rsidR="00AF0502">
            <w:rPr>
              <w:sz w:val="20"/>
              <w:szCs w:val="20"/>
            </w:rPr>
            <w:t>E</w:t>
          </w:r>
          <w:r w:rsidR="00495694" w:rsidRPr="005A0220">
            <w:rPr>
              <w:sz w:val="20"/>
              <w:szCs w:val="20"/>
            </w:rPr>
            <w:t>stablishing a Guideline on Forward</w:t>
          </w:r>
          <w:r w:rsidR="00AF0502">
            <w:rPr>
              <w:sz w:val="20"/>
              <w:szCs w:val="20"/>
            </w:rPr>
            <w:t xml:space="preserve"> </w:t>
          </w:r>
          <w:r w:rsidR="00495694" w:rsidRPr="005A0220">
            <w:rPr>
              <w:sz w:val="20"/>
              <w:szCs w:val="20"/>
            </w:rPr>
            <w:t xml:space="preserve">Capacity Allocation    </w:t>
          </w:r>
        </w:p>
      </w:tc>
    </w:tr>
  </w:tbl>
  <w:p w14:paraId="13A5FDE4" w14:textId="53977BAD" w:rsidR="00B566B7" w:rsidRDefault="00B566B7" w:rsidP="003D0965">
    <w:pPr>
      <w:pStyle w:val="Footer"/>
    </w:pPr>
    <w:r>
      <w:rPr>
        <w:noProof/>
        <w:lang w:val="et-EE" w:eastAsia="et-EE"/>
      </w:rPr>
      <mc:AlternateContent>
        <mc:Choice Requires="wps">
          <w:drawing>
            <wp:anchor distT="0" distB="0" distL="114300" distR="114300" simplePos="0" relativeHeight="251657216" behindDoc="0" locked="1" layoutInCell="1" allowOverlap="1" wp14:anchorId="5DB4731E" wp14:editId="6EB12F8B">
              <wp:simplePos x="0" y="0"/>
              <wp:positionH relativeFrom="page">
                <wp:posOffset>864235</wp:posOffset>
              </wp:positionH>
              <wp:positionV relativeFrom="page">
                <wp:posOffset>1062355</wp:posOffset>
              </wp:positionV>
              <wp:extent cx="6047740" cy="0"/>
              <wp:effectExtent l="6985" t="14605" r="1270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2575C"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p>
  <w:p w14:paraId="6BDCCA1A" w14:textId="77777777" w:rsidR="009C4F08" w:rsidRDefault="009C4F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E96"/>
    <w:multiLevelType w:val="multilevel"/>
    <w:tmpl w:val="5198C11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 w15:restartNumberingAfterBreak="0">
    <w:nsid w:val="2C04519E"/>
    <w:multiLevelType w:val="multilevel"/>
    <w:tmpl w:val="D0A63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9B7CCA"/>
    <w:multiLevelType w:val="multilevel"/>
    <w:tmpl w:val="229E4D32"/>
    <w:lvl w:ilvl="0">
      <w:start w:val="1"/>
      <w:numFmt w:val="decimal"/>
      <w:lvlText w:val="%1."/>
      <w:lvlJc w:val="left"/>
      <w:pPr>
        <w:ind w:left="360" w:hanging="360"/>
      </w:pPr>
      <w:rPr>
        <w:rFonts w:hint="default"/>
        <w:lang w:val="en-US"/>
      </w:rPr>
    </w:lvl>
    <w:lvl w:ilvl="1">
      <w:start w:val="1"/>
      <w:numFmt w:val="decimal"/>
      <w:lvlText w:val="%1.%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D53C08"/>
    <w:multiLevelType w:val="hybridMultilevel"/>
    <w:tmpl w:val="6C16EC20"/>
    <w:lvl w:ilvl="0" w:tplc="F5BE38A0">
      <w:start w:val="1"/>
      <w:numFmt w:val="lowerLetter"/>
      <w:lvlText w:val="(%1)"/>
      <w:lvlJc w:val="left"/>
      <w:pPr>
        <w:ind w:left="1080" w:hanging="360"/>
      </w:pPr>
      <w:rPr>
        <w:rFonts w:hint="default"/>
      </w:rPr>
    </w:lvl>
    <w:lvl w:ilvl="1" w:tplc="517698D0">
      <w:start w:val="1"/>
      <w:numFmt w:val="lowerLetter"/>
      <w:lvlText w:val="(%2)"/>
      <w:lvlJc w:val="left"/>
      <w:pPr>
        <w:ind w:left="1800" w:hanging="360"/>
      </w:pPr>
      <w:rPr>
        <w:rFonts w:ascii="Calibri" w:eastAsia="Times New Roman" w:hAnsi="Calibri"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53A3F2E"/>
    <w:multiLevelType w:val="hybridMultilevel"/>
    <w:tmpl w:val="A72A9A90"/>
    <w:lvl w:ilvl="0" w:tplc="0AEC6C0E">
      <w:start w:val="1"/>
      <w:numFmt w:val="decimal"/>
      <w:lvlText w:val="Article %1"/>
      <w:lvlJc w:val="left"/>
      <w:pPr>
        <w:ind w:left="4046" w:hanging="360"/>
      </w:pPr>
      <w:rPr>
        <w:rFonts w:hint="default"/>
        <w:b w:val="0"/>
        <w:i w:val="0"/>
      </w:rPr>
    </w:lvl>
    <w:lvl w:ilvl="1" w:tplc="7572F2E8">
      <w:start w:val="1"/>
      <w:numFmt w:val="lowerLetter"/>
      <w:lvlText w:val="(%2)"/>
      <w:lvlJc w:val="left"/>
      <w:pPr>
        <w:ind w:left="4766" w:hanging="360"/>
      </w:pPr>
      <w:rPr>
        <w:rFonts w:hint="default"/>
      </w:rPr>
    </w:lvl>
    <w:lvl w:ilvl="2" w:tplc="080C001B" w:tentative="1">
      <w:start w:val="1"/>
      <w:numFmt w:val="lowerRoman"/>
      <w:lvlText w:val="%3."/>
      <w:lvlJc w:val="right"/>
      <w:pPr>
        <w:ind w:left="5486" w:hanging="180"/>
      </w:pPr>
    </w:lvl>
    <w:lvl w:ilvl="3" w:tplc="080C000F" w:tentative="1">
      <w:start w:val="1"/>
      <w:numFmt w:val="decimal"/>
      <w:lvlText w:val="%4."/>
      <w:lvlJc w:val="left"/>
      <w:pPr>
        <w:ind w:left="6206" w:hanging="360"/>
      </w:pPr>
    </w:lvl>
    <w:lvl w:ilvl="4" w:tplc="080C0019" w:tentative="1">
      <w:start w:val="1"/>
      <w:numFmt w:val="lowerLetter"/>
      <w:lvlText w:val="%5."/>
      <w:lvlJc w:val="left"/>
      <w:pPr>
        <w:ind w:left="6926" w:hanging="360"/>
      </w:pPr>
    </w:lvl>
    <w:lvl w:ilvl="5" w:tplc="080C001B" w:tentative="1">
      <w:start w:val="1"/>
      <w:numFmt w:val="lowerRoman"/>
      <w:lvlText w:val="%6."/>
      <w:lvlJc w:val="right"/>
      <w:pPr>
        <w:ind w:left="7646" w:hanging="180"/>
      </w:pPr>
    </w:lvl>
    <w:lvl w:ilvl="6" w:tplc="080C000F" w:tentative="1">
      <w:start w:val="1"/>
      <w:numFmt w:val="decimal"/>
      <w:lvlText w:val="%7."/>
      <w:lvlJc w:val="left"/>
      <w:pPr>
        <w:ind w:left="8366" w:hanging="360"/>
      </w:pPr>
    </w:lvl>
    <w:lvl w:ilvl="7" w:tplc="080C0019" w:tentative="1">
      <w:start w:val="1"/>
      <w:numFmt w:val="lowerLetter"/>
      <w:lvlText w:val="%8."/>
      <w:lvlJc w:val="left"/>
      <w:pPr>
        <w:ind w:left="9086" w:hanging="360"/>
      </w:pPr>
    </w:lvl>
    <w:lvl w:ilvl="8" w:tplc="080C001B" w:tentative="1">
      <w:start w:val="1"/>
      <w:numFmt w:val="lowerRoman"/>
      <w:lvlText w:val="%9."/>
      <w:lvlJc w:val="right"/>
      <w:pPr>
        <w:ind w:left="9806" w:hanging="180"/>
      </w:pPr>
    </w:lvl>
  </w:abstractNum>
  <w:abstractNum w:abstractNumId="6" w15:restartNumberingAfterBreak="0">
    <w:nsid w:val="4AD20E15"/>
    <w:multiLevelType w:val="hybridMultilevel"/>
    <w:tmpl w:val="35C4ED48"/>
    <w:lvl w:ilvl="0" w:tplc="C652B91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35C2854"/>
    <w:multiLevelType w:val="hybridMultilevel"/>
    <w:tmpl w:val="47722C5C"/>
    <w:lvl w:ilvl="0" w:tplc="517698D0">
      <w:start w:val="1"/>
      <w:numFmt w:val="lowerLetter"/>
      <w:lvlText w:val="(%1)"/>
      <w:lvlJc w:val="left"/>
      <w:pPr>
        <w:ind w:left="1353" w:hanging="360"/>
      </w:pPr>
      <w:rPr>
        <w:rFonts w:ascii="Calibri" w:eastAsia="Times New Roman" w:hAnsi="Calibri" w:cs="Times New Roman" w:hint="default"/>
      </w:rPr>
    </w:lvl>
    <w:lvl w:ilvl="1" w:tplc="F5BE38A0">
      <w:start w:val="1"/>
      <w:numFmt w:val="lowerLetter"/>
      <w:lvlText w:val="(%2)"/>
      <w:lvlJc w:val="left"/>
      <w:pPr>
        <w:ind w:left="2073" w:hanging="360"/>
      </w:pPr>
      <w:rPr>
        <w:rFonts w:hint="default"/>
      </w:r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9" w15:restartNumberingAfterBreak="0">
    <w:nsid w:val="549E7971"/>
    <w:multiLevelType w:val="hybridMultilevel"/>
    <w:tmpl w:val="DFC8975A"/>
    <w:lvl w:ilvl="0" w:tplc="517698D0">
      <w:start w:val="1"/>
      <w:numFmt w:val="lowerLetter"/>
      <w:lvlText w:val="(%1)"/>
      <w:lvlJc w:val="left"/>
      <w:pPr>
        <w:ind w:left="1429" w:hanging="360"/>
      </w:pPr>
      <w:rPr>
        <w:rFonts w:ascii="Calibri" w:eastAsia="Times New Roman" w:hAnsi="Calibri" w:cs="Times New Roman" w:hint="default"/>
      </w:rPr>
    </w:lvl>
    <w:lvl w:ilvl="1" w:tplc="F5BE38A0">
      <w:start w:val="1"/>
      <w:numFmt w:val="lowerLetter"/>
      <w:lvlText w:val="(%2)"/>
      <w:lvlJc w:val="left"/>
      <w:pPr>
        <w:ind w:left="1070"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578C6B7D"/>
    <w:multiLevelType w:val="hybridMultilevel"/>
    <w:tmpl w:val="FAA40BD0"/>
    <w:lvl w:ilvl="0" w:tplc="517698D0">
      <w:start w:val="1"/>
      <w:numFmt w:val="lowerLetter"/>
      <w:lvlText w:val="(%1)"/>
      <w:lvlJc w:val="left"/>
      <w:pPr>
        <w:ind w:left="1571" w:hanging="360"/>
      </w:pPr>
      <w:rPr>
        <w:rFonts w:ascii="Calibri" w:eastAsia="Times New Roman" w:hAnsi="Calibri" w:cs="Times New Roman" w:hint="default"/>
      </w:rPr>
    </w:lvl>
    <w:lvl w:ilvl="1" w:tplc="517698D0">
      <w:start w:val="1"/>
      <w:numFmt w:val="lowerLetter"/>
      <w:lvlText w:val="(%2)"/>
      <w:lvlJc w:val="left"/>
      <w:pPr>
        <w:ind w:left="2291" w:hanging="360"/>
      </w:pPr>
      <w:rPr>
        <w:rFonts w:ascii="Calibri" w:eastAsia="Times New Roman" w:hAnsi="Calibri" w:cs="Times New Roman" w:hint="default"/>
      </w:r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58EA5A15"/>
    <w:multiLevelType w:val="hybridMultilevel"/>
    <w:tmpl w:val="69B6EF16"/>
    <w:lvl w:ilvl="0" w:tplc="8FFE99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4A3354"/>
    <w:multiLevelType w:val="multilevel"/>
    <w:tmpl w:val="0809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13"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6116554D"/>
    <w:multiLevelType w:val="hybridMultilevel"/>
    <w:tmpl w:val="43C439E8"/>
    <w:lvl w:ilvl="0" w:tplc="AF781C04">
      <w:start w:val="1"/>
      <w:numFmt w:val="decimal"/>
      <w:lvlText w:val="(%1)"/>
      <w:lvlJc w:val="left"/>
      <w:pPr>
        <w:ind w:left="786"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A0257"/>
    <w:multiLevelType w:val="hybridMultilevel"/>
    <w:tmpl w:val="EE8403DA"/>
    <w:lvl w:ilvl="0" w:tplc="8FFE99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DF7DED"/>
    <w:multiLevelType w:val="hybridMultilevel"/>
    <w:tmpl w:val="D9260964"/>
    <w:lvl w:ilvl="0" w:tplc="AD145456">
      <w:start w:val="6"/>
      <w:numFmt w:val="lowerLetter"/>
      <w:lvlText w:val="(%1)"/>
      <w:lvlJc w:val="left"/>
      <w:pPr>
        <w:ind w:left="1070" w:hanging="360"/>
      </w:pPr>
      <w:rPr>
        <w:rFonts w:asciiTheme="minorHAnsi" w:eastAsia="Times New Roman" w:hAnsiTheme="minorHAnsi" w:cs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
  </w:num>
  <w:num w:numId="5">
    <w:abstractNumId w:val="14"/>
  </w:num>
  <w:num w:numId="6">
    <w:abstractNumId w:val="15"/>
  </w:num>
  <w:num w:numId="7">
    <w:abstractNumId w:val="5"/>
  </w:num>
  <w:num w:numId="8">
    <w:abstractNumId w:val="11"/>
  </w:num>
  <w:num w:numId="9">
    <w:abstractNumId w:val="3"/>
  </w:num>
  <w:num w:numId="10">
    <w:abstractNumId w:val="0"/>
  </w:num>
  <w:num w:numId="11">
    <w:abstractNumId w:val="6"/>
  </w:num>
  <w:num w:numId="12">
    <w:abstractNumId w:val="4"/>
  </w:num>
  <w:num w:numId="13">
    <w:abstractNumId w:val="9"/>
  </w:num>
  <w:num w:numId="14">
    <w:abstractNumId w:val="8"/>
  </w:num>
  <w:num w:numId="15">
    <w:abstractNumId w:val="10"/>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1"/>
    <w:rsid w:val="000003C2"/>
    <w:rsid w:val="0000040E"/>
    <w:rsid w:val="00000772"/>
    <w:rsid w:val="00001811"/>
    <w:rsid w:val="00004BE4"/>
    <w:rsid w:val="000059C4"/>
    <w:rsid w:val="00006456"/>
    <w:rsid w:val="00006FA9"/>
    <w:rsid w:val="000079D9"/>
    <w:rsid w:val="000118B0"/>
    <w:rsid w:val="0001314B"/>
    <w:rsid w:val="00013390"/>
    <w:rsid w:val="00013801"/>
    <w:rsid w:val="00016057"/>
    <w:rsid w:val="00016AA1"/>
    <w:rsid w:val="00024AF8"/>
    <w:rsid w:val="00027F78"/>
    <w:rsid w:val="00030228"/>
    <w:rsid w:val="00030761"/>
    <w:rsid w:val="000330BD"/>
    <w:rsid w:val="00033829"/>
    <w:rsid w:val="000354BD"/>
    <w:rsid w:val="000408A9"/>
    <w:rsid w:val="00043039"/>
    <w:rsid w:val="00045DEF"/>
    <w:rsid w:val="00046913"/>
    <w:rsid w:val="00046D0D"/>
    <w:rsid w:val="0004706E"/>
    <w:rsid w:val="00050760"/>
    <w:rsid w:val="000579F0"/>
    <w:rsid w:val="00057A0D"/>
    <w:rsid w:val="0006074F"/>
    <w:rsid w:val="00060C6B"/>
    <w:rsid w:val="00060FBC"/>
    <w:rsid w:val="0006467A"/>
    <w:rsid w:val="00066622"/>
    <w:rsid w:val="00072DA4"/>
    <w:rsid w:val="00075E57"/>
    <w:rsid w:val="000765AD"/>
    <w:rsid w:val="00081777"/>
    <w:rsid w:val="00084EBE"/>
    <w:rsid w:val="00087DB7"/>
    <w:rsid w:val="00092EED"/>
    <w:rsid w:val="00095B30"/>
    <w:rsid w:val="000961F8"/>
    <w:rsid w:val="0009770C"/>
    <w:rsid w:val="000A0D42"/>
    <w:rsid w:val="000A1744"/>
    <w:rsid w:val="000A17FF"/>
    <w:rsid w:val="000A3146"/>
    <w:rsid w:val="000A40BE"/>
    <w:rsid w:val="000A5B68"/>
    <w:rsid w:val="000A601E"/>
    <w:rsid w:val="000A652F"/>
    <w:rsid w:val="000B02F1"/>
    <w:rsid w:val="000B203F"/>
    <w:rsid w:val="000B21E5"/>
    <w:rsid w:val="000B3A3D"/>
    <w:rsid w:val="000B6961"/>
    <w:rsid w:val="000C37BC"/>
    <w:rsid w:val="000C3BBC"/>
    <w:rsid w:val="000C5B6A"/>
    <w:rsid w:val="000C6262"/>
    <w:rsid w:val="000C7181"/>
    <w:rsid w:val="000D019A"/>
    <w:rsid w:val="000D1B45"/>
    <w:rsid w:val="000D2CC6"/>
    <w:rsid w:val="000D341E"/>
    <w:rsid w:val="000D6D21"/>
    <w:rsid w:val="000E00F1"/>
    <w:rsid w:val="000E1A86"/>
    <w:rsid w:val="000E1BB6"/>
    <w:rsid w:val="000E25E1"/>
    <w:rsid w:val="000E32FA"/>
    <w:rsid w:val="000E4A77"/>
    <w:rsid w:val="000E5A53"/>
    <w:rsid w:val="000F0B1D"/>
    <w:rsid w:val="000F54C1"/>
    <w:rsid w:val="000F59C3"/>
    <w:rsid w:val="000F674C"/>
    <w:rsid w:val="000F685D"/>
    <w:rsid w:val="000F693C"/>
    <w:rsid w:val="00102370"/>
    <w:rsid w:val="00102B76"/>
    <w:rsid w:val="00103314"/>
    <w:rsid w:val="0010498A"/>
    <w:rsid w:val="00105577"/>
    <w:rsid w:val="001066E4"/>
    <w:rsid w:val="00107374"/>
    <w:rsid w:val="00110460"/>
    <w:rsid w:val="00110FC1"/>
    <w:rsid w:val="00111642"/>
    <w:rsid w:val="00111DF2"/>
    <w:rsid w:val="00112D3B"/>
    <w:rsid w:val="001143DF"/>
    <w:rsid w:val="0011491D"/>
    <w:rsid w:val="00114BDA"/>
    <w:rsid w:val="001206D4"/>
    <w:rsid w:val="00120A95"/>
    <w:rsid w:val="00120EEC"/>
    <w:rsid w:val="0012174D"/>
    <w:rsid w:val="00124745"/>
    <w:rsid w:val="00126B18"/>
    <w:rsid w:val="00127D1A"/>
    <w:rsid w:val="00130A9C"/>
    <w:rsid w:val="001347A8"/>
    <w:rsid w:val="00137EB4"/>
    <w:rsid w:val="00140291"/>
    <w:rsid w:val="00142363"/>
    <w:rsid w:val="00143E63"/>
    <w:rsid w:val="00143F91"/>
    <w:rsid w:val="00147626"/>
    <w:rsid w:val="00147BED"/>
    <w:rsid w:val="00150A3A"/>
    <w:rsid w:val="00150B72"/>
    <w:rsid w:val="00152CAE"/>
    <w:rsid w:val="00153C44"/>
    <w:rsid w:val="00156CDC"/>
    <w:rsid w:val="00160131"/>
    <w:rsid w:val="00161070"/>
    <w:rsid w:val="00161366"/>
    <w:rsid w:val="00162B68"/>
    <w:rsid w:val="00163012"/>
    <w:rsid w:val="00163422"/>
    <w:rsid w:val="00163892"/>
    <w:rsid w:val="00165C7D"/>
    <w:rsid w:val="0016641C"/>
    <w:rsid w:val="00166C5A"/>
    <w:rsid w:val="0017303B"/>
    <w:rsid w:val="00174315"/>
    <w:rsid w:val="00174C39"/>
    <w:rsid w:val="00176536"/>
    <w:rsid w:val="00184285"/>
    <w:rsid w:val="0018540A"/>
    <w:rsid w:val="0018585D"/>
    <w:rsid w:val="00190F85"/>
    <w:rsid w:val="00194DBE"/>
    <w:rsid w:val="0019547A"/>
    <w:rsid w:val="001A0FF4"/>
    <w:rsid w:val="001A1990"/>
    <w:rsid w:val="001A2075"/>
    <w:rsid w:val="001A29FC"/>
    <w:rsid w:val="001A3B31"/>
    <w:rsid w:val="001A55A2"/>
    <w:rsid w:val="001A7031"/>
    <w:rsid w:val="001A76E9"/>
    <w:rsid w:val="001A7D8D"/>
    <w:rsid w:val="001B298E"/>
    <w:rsid w:val="001B3D67"/>
    <w:rsid w:val="001B4AF3"/>
    <w:rsid w:val="001B6ACF"/>
    <w:rsid w:val="001B7E06"/>
    <w:rsid w:val="001C0F8F"/>
    <w:rsid w:val="001C1AF0"/>
    <w:rsid w:val="001C42E0"/>
    <w:rsid w:val="001C4F2E"/>
    <w:rsid w:val="001D19A7"/>
    <w:rsid w:val="001D3462"/>
    <w:rsid w:val="001D41D8"/>
    <w:rsid w:val="001D41FD"/>
    <w:rsid w:val="001D5DA3"/>
    <w:rsid w:val="001D733B"/>
    <w:rsid w:val="001E0116"/>
    <w:rsid w:val="001E2016"/>
    <w:rsid w:val="001E21E3"/>
    <w:rsid w:val="001E2776"/>
    <w:rsid w:val="001E46EC"/>
    <w:rsid w:val="001E4C2B"/>
    <w:rsid w:val="001E6525"/>
    <w:rsid w:val="001E792D"/>
    <w:rsid w:val="001E7F0F"/>
    <w:rsid w:val="001F09FA"/>
    <w:rsid w:val="001F0F4E"/>
    <w:rsid w:val="001F36D6"/>
    <w:rsid w:val="001F69B5"/>
    <w:rsid w:val="002107C2"/>
    <w:rsid w:val="0021474E"/>
    <w:rsid w:val="002170C6"/>
    <w:rsid w:val="002214BF"/>
    <w:rsid w:val="002228BD"/>
    <w:rsid w:val="00224DC2"/>
    <w:rsid w:val="002309D3"/>
    <w:rsid w:val="002312AC"/>
    <w:rsid w:val="002341CF"/>
    <w:rsid w:val="00236627"/>
    <w:rsid w:val="00236C4B"/>
    <w:rsid w:val="0024169C"/>
    <w:rsid w:val="002417A3"/>
    <w:rsid w:val="002433F5"/>
    <w:rsid w:val="0024495E"/>
    <w:rsid w:val="00245C93"/>
    <w:rsid w:val="00247DBB"/>
    <w:rsid w:val="00250191"/>
    <w:rsid w:val="002517B3"/>
    <w:rsid w:val="00254E78"/>
    <w:rsid w:val="002558A7"/>
    <w:rsid w:val="0025665E"/>
    <w:rsid w:val="00260AEB"/>
    <w:rsid w:val="002613D9"/>
    <w:rsid w:val="00267BD7"/>
    <w:rsid w:val="00270373"/>
    <w:rsid w:val="00270823"/>
    <w:rsid w:val="0027115B"/>
    <w:rsid w:val="00272786"/>
    <w:rsid w:val="002732D5"/>
    <w:rsid w:val="00273592"/>
    <w:rsid w:val="0027393C"/>
    <w:rsid w:val="0027786A"/>
    <w:rsid w:val="0028125C"/>
    <w:rsid w:val="00282151"/>
    <w:rsid w:val="002856BC"/>
    <w:rsid w:val="00285B00"/>
    <w:rsid w:val="00285C19"/>
    <w:rsid w:val="00290A52"/>
    <w:rsid w:val="0029256D"/>
    <w:rsid w:val="002947EA"/>
    <w:rsid w:val="002950FF"/>
    <w:rsid w:val="002A0B08"/>
    <w:rsid w:val="002A1E40"/>
    <w:rsid w:val="002A4168"/>
    <w:rsid w:val="002B272C"/>
    <w:rsid w:val="002B2DB1"/>
    <w:rsid w:val="002B3B7B"/>
    <w:rsid w:val="002C668E"/>
    <w:rsid w:val="002D0803"/>
    <w:rsid w:val="002D140D"/>
    <w:rsid w:val="002D2455"/>
    <w:rsid w:val="002D2E12"/>
    <w:rsid w:val="002D322B"/>
    <w:rsid w:val="002D47C5"/>
    <w:rsid w:val="002D499D"/>
    <w:rsid w:val="002E3273"/>
    <w:rsid w:val="002E44CD"/>
    <w:rsid w:val="002E470A"/>
    <w:rsid w:val="002E752A"/>
    <w:rsid w:val="002F1147"/>
    <w:rsid w:val="002F1DFF"/>
    <w:rsid w:val="002F1F41"/>
    <w:rsid w:val="002F20F9"/>
    <w:rsid w:val="002F5EFD"/>
    <w:rsid w:val="002F6842"/>
    <w:rsid w:val="003000B2"/>
    <w:rsid w:val="00301DC5"/>
    <w:rsid w:val="003025D1"/>
    <w:rsid w:val="00311E4E"/>
    <w:rsid w:val="003234FA"/>
    <w:rsid w:val="00325086"/>
    <w:rsid w:val="0032514C"/>
    <w:rsid w:val="00330365"/>
    <w:rsid w:val="003314D0"/>
    <w:rsid w:val="00332CC9"/>
    <w:rsid w:val="00341096"/>
    <w:rsid w:val="003444FB"/>
    <w:rsid w:val="00344C99"/>
    <w:rsid w:val="00347B71"/>
    <w:rsid w:val="00352E0A"/>
    <w:rsid w:val="00355D73"/>
    <w:rsid w:val="003567B8"/>
    <w:rsid w:val="0035703A"/>
    <w:rsid w:val="003616D4"/>
    <w:rsid w:val="003619E1"/>
    <w:rsid w:val="00361DB5"/>
    <w:rsid w:val="00367938"/>
    <w:rsid w:val="00375CC7"/>
    <w:rsid w:val="00376731"/>
    <w:rsid w:val="0037768B"/>
    <w:rsid w:val="0038017C"/>
    <w:rsid w:val="0038029D"/>
    <w:rsid w:val="003846DA"/>
    <w:rsid w:val="0038543F"/>
    <w:rsid w:val="0038669D"/>
    <w:rsid w:val="00387CBC"/>
    <w:rsid w:val="003919B3"/>
    <w:rsid w:val="003921B3"/>
    <w:rsid w:val="00392E34"/>
    <w:rsid w:val="00393864"/>
    <w:rsid w:val="00393DE7"/>
    <w:rsid w:val="003A008C"/>
    <w:rsid w:val="003A1FFE"/>
    <w:rsid w:val="003A354D"/>
    <w:rsid w:val="003A43F1"/>
    <w:rsid w:val="003A5A63"/>
    <w:rsid w:val="003A67E9"/>
    <w:rsid w:val="003A79A5"/>
    <w:rsid w:val="003B012B"/>
    <w:rsid w:val="003B09A7"/>
    <w:rsid w:val="003B18A2"/>
    <w:rsid w:val="003B2B80"/>
    <w:rsid w:val="003B39E3"/>
    <w:rsid w:val="003B4442"/>
    <w:rsid w:val="003B63CE"/>
    <w:rsid w:val="003C1787"/>
    <w:rsid w:val="003C1EE0"/>
    <w:rsid w:val="003C20F1"/>
    <w:rsid w:val="003C32C5"/>
    <w:rsid w:val="003C5152"/>
    <w:rsid w:val="003D0965"/>
    <w:rsid w:val="003D0E89"/>
    <w:rsid w:val="003D10A3"/>
    <w:rsid w:val="003D15CA"/>
    <w:rsid w:val="003D15E1"/>
    <w:rsid w:val="003D2A99"/>
    <w:rsid w:val="003D4C07"/>
    <w:rsid w:val="003D5000"/>
    <w:rsid w:val="003D68E6"/>
    <w:rsid w:val="003E1E93"/>
    <w:rsid w:val="003E4A51"/>
    <w:rsid w:val="003E4D3B"/>
    <w:rsid w:val="003E7350"/>
    <w:rsid w:val="003E7600"/>
    <w:rsid w:val="003F24DC"/>
    <w:rsid w:val="003F36CF"/>
    <w:rsid w:val="003F495C"/>
    <w:rsid w:val="003F55AE"/>
    <w:rsid w:val="00401221"/>
    <w:rsid w:val="00402D18"/>
    <w:rsid w:val="004104C5"/>
    <w:rsid w:val="00410A3C"/>
    <w:rsid w:val="00410D7E"/>
    <w:rsid w:val="00411C65"/>
    <w:rsid w:val="00412498"/>
    <w:rsid w:val="00413FD1"/>
    <w:rsid w:val="004165C6"/>
    <w:rsid w:val="004213F3"/>
    <w:rsid w:val="00421B64"/>
    <w:rsid w:val="00423E1A"/>
    <w:rsid w:val="00432FF7"/>
    <w:rsid w:val="004335FF"/>
    <w:rsid w:val="0043363B"/>
    <w:rsid w:val="0043566C"/>
    <w:rsid w:val="00443380"/>
    <w:rsid w:val="004456C1"/>
    <w:rsid w:val="00451474"/>
    <w:rsid w:val="00451B9E"/>
    <w:rsid w:val="0045447A"/>
    <w:rsid w:val="00456FE7"/>
    <w:rsid w:val="00461A70"/>
    <w:rsid w:val="00461AED"/>
    <w:rsid w:val="0046373A"/>
    <w:rsid w:val="00464898"/>
    <w:rsid w:val="00465A9A"/>
    <w:rsid w:val="0046624A"/>
    <w:rsid w:val="00472180"/>
    <w:rsid w:val="004721F0"/>
    <w:rsid w:val="00474874"/>
    <w:rsid w:val="00474E1F"/>
    <w:rsid w:val="00475A02"/>
    <w:rsid w:val="00475CC8"/>
    <w:rsid w:val="00477ACD"/>
    <w:rsid w:val="00482734"/>
    <w:rsid w:val="00484660"/>
    <w:rsid w:val="00484B64"/>
    <w:rsid w:val="0048638E"/>
    <w:rsid w:val="00490789"/>
    <w:rsid w:val="00495694"/>
    <w:rsid w:val="00497954"/>
    <w:rsid w:val="004A06AE"/>
    <w:rsid w:val="004A1355"/>
    <w:rsid w:val="004A3371"/>
    <w:rsid w:val="004A717B"/>
    <w:rsid w:val="004A7262"/>
    <w:rsid w:val="004A75DC"/>
    <w:rsid w:val="004B0150"/>
    <w:rsid w:val="004B4D5F"/>
    <w:rsid w:val="004B4E2B"/>
    <w:rsid w:val="004B6993"/>
    <w:rsid w:val="004B768D"/>
    <w:rsid w:val="004C419B"/>
    <w:rsid w:val="004D01CB"/>
    <w:rsid w:val="004D2955"/>
    <w:rsid w:val="004D6309"/>
    <w:rsid w:val="004D73CD"/>
    <w:rsid w:val="004D7415"/>
    <w:rsid w:val="004D7594"/>
    <w:rsid w:val="004D7879"/>
    <w:rsid w:val="004E5A6A"/>
    <w:rsid w:val="00501B7F"/>
    <w:rsid w:val="00501D42"/>
    <w:rsid w:val="00502354"/>
    <w:rsid w:val="005048AE"/>
    <w:rsid w:val="00504A30"/>
    <w:rsid w:val="00506FDF"/>
    <w:rsid w:val="0050775B"/>
    <w:rsid w:val="00507F64"/>
    <w:rsid w:val="00513000"/>
    <w:rsid w:val="0051409F"/>
    <w:rsid w:val="0051440A"/>
    <w:rsid w:val="005243E8"/>
    <w:rsid w:val="00525545"/>
    <w:rsid w:val="00527CCA"/>
    <w:rsid w:val="00531B89"/>
    <w:rsid w:val="005336DE"/>
    <w:rsid w:val="00534F83"/>
    <w:rsid w:val="0053705D"/>
    <w:rsid w:val="005435D0"/>
    <w:rsid w:val="00543840"/>
    <w:rsid w:val="00543CA7"/>
    <w:rsid w:val="00544B00"/>
    <w:rsid w:val="00545DC3"/>
    <w:rsid w:val="00547043"/>
    <w:rsid w:val="005524B7"/>
    <w:rsid w:val="00552C72"/>
    <w:rsid w:val="005545D3"/>
    <w:rsid w:val="00562B36"/>
    <w:rsid w:val="0056329C"/>
    <w:rsid w:val="0056352E"/>
    <w:rsid w:val="005663C7"/>
    <w:rsid w:val="00566668"/>
    <w:rsid w:val="00567718"/>
    <w:rsid w:val="00570817"/>
    <w:rsid w:val="00577318"/>
    <w:rsid w:val="00580F2E"/>
    <w:rsid w:val="005815EC"/>
    <w:rsid w:val="0058491B"/>
    <w:rsid w:val="00585827"/>
    <w:rsid w:val="005860DD"/>
    <w:rsid w:val="005869A7"/>
    <w:rsid w:val="00590A19"/>
    <w:rsid w:val="00591734"/>
    <w:rsid w:val="005926F6"/>
    <w:rsid w:val="005928BC"/>
    <w:rsid w:val="00594508"/>
    <w:rsid w:val="005969C7"/>
    <w:rsid w:val="00597024"/>
    <w:rsid w:val="005A0220"/>
    <w:rsid w:val="005A311E"/>
    <w:rsid w:val="005A403B"/>
    <w:rsid w:val="005A4D38"/>
    <w:rsid w:val="005A5DC8"/>
    <w:rsid w:val="005B03D4"/>
    <w:rsid w:val="005B2444"/>
    <w:rsid w:val="005B28A8"/>
    <w:rsid w:val="005B3EB0"/>
    <w:rsid w:val="005B4820"/>
    <w:rsid w:val="005B4930"/>
    <w:rsid w:val="005B7D05"/>
    <w:rsid w:val="005C0557"/>
    <w:rsid w:val="005C0746"/>
    <w:rsid w:val="005C5AA6"/>
    <w:rsid w:val="005C5FDC"/>
    <w:rsid w:val="005C758B"/>
    <w:rsid w:val="005D068C"/>
    <w:rsid w:val="005D3FB8"/>
    <w:rsid w:val="005D6C82"/>
    <w:rsid w:val="005E023E"/>
    <w:rsid w:val="005E04B7"/>
    <w:rsid w:val="005E0955"/>
    <w:rsid w:val="005E5A07"/>
    <w:rsid w:val="005E5B74"/>
    <w:rsid w:val="005F1F7C"/>
    <w:rsid w:val="005F334C"/>
    <w:rsid w:val="006014D6"/>
    <w:rsid w:val="00602BB7"/>
    <w:rsid w:val="0060540C"/>
    <w:rsid w:val="0060799D"/>
    <w:rsid w:val="00611B5F"/>
    <w:rsid w:val="006157B9"/>
    <w:rsid w:val="0062175F"/>
    <w:rsid w:val="00622ABC"/>
    <w:rsid w:val="00622D42"/>
    <w:rsid w:val="00623B44"/>
    <w:rsid w:val="006244A4"/>
    <w:rsid w:val="00625462"/>
    <w:rsid w:val="00626CF6"/>
    <w:rsid w:val="00627E1F"/>
    <w:rsid w:val="006308D4"/>
    <w:rsid w:val="006366CE"/>
    <w:rsid w:val="006421F0"/>
    <w:rsid w:val="0064250C"/>
    <w:rsid w:val="0064345A"/>
    <w:rsid w:val="00646F0E"/>
    <w:rsid w:val="00646F72"/>
    <w:rsid w:val="006476C4"/>
    <w:rsid w:val="00647FAE"/>
    <w:rsid w:val="00647FDB"/>
    <w:rsid w:val="00652DB9"/>
    <w:rsid w:val="00655199"/>
    <w:rsid w:val="00655FF4"/>
    <w:rsid w:val="006564C1"/>
    <w:rsid w:val="00656B9A"/>
    <w:rsid w:val="00657741"/>
    <w:rsid w:val="006610C6"/>
    <w:rsid w:val="00661CBA"/>
    <w:rsid w:val="0066321D"/>
    <w:rsid w:val="0066440A"/>
    <w:rsid w:val="006651C9"/>
    <w:rsid w:val="0066578A"/>
    <w:rsid w:val="00665F45"/>
    <w:rsid w:val="0067038F"/>
    <w:rsid w:val="00671273"/>
    <w:rsid w:val="006715A7"/>
    <w:rsid w:val="006740CC"/>
    <w:rsid w:val="0067620B"/>
    <w:rsid w:val="00680D83"/>
    <w:rsid w:val="0068264A"/>
    <w:rsid w:val="0068276C"/>
    <w:rsid w:val="00683400"/>
    <w:rsid w:val="00690CFD"/>
    <w:rsid w:val="0069470B"/>
    <w:rsid w:val="00696EBB"/>
    <w:rsid w:val="00697BA9"/>
    <w:rsid w:val="006A1313"/>
    <w:rsid w:val="006A27F6"/>
    <w:rsid w:val="006A4DF4"/>
    <w:rsid w:val="006A5182"/>
    <w:rsid w:val="006A79AD"/>
    <w:rsid w:val="006B27E5"/>
    <w:rsid w:val="006B34F1"/>
    <w:rsid w:val="006B4ACE"/>
    <w:rsid w:val="006B69FD"/>
    <w:rsid w:val="006B7341"/>
    <w:rsid w:val="006B7816"/>
    <w:rsid w:val="006B7C21"/>
    <w:rsid w:val="006C21E5"/>
    <w:rsid w:val="006C22DC"/>
    <w:rsid w:val="006C37C6"/>
    <w:rsid w:val="006C40AB"/>
    <w:rsid w:val="006D0786"/>
    <w:rsid w:val="006D10F7"/>
    <w:rsid w:val="006D28FD"/>
    <w:rsid w:val="006D29DD"/>
    <w:rsid w:val="006D450C"/>
    <w:rsid w:val="006E00F4"/>
    <w:rsid w:val="006E290E"/>
    <w:rsid w:val="006E5ADB"/>
    <w:rsid w:val="006E7EA7"/>
    <w:rsid w:val="006E7EF4"/>
    <w:rsid w:val="006F0D49"/>
    <w:rsid w:val="006F1242"/>
    <w:rsid w:val="006F371E"/>
    <w:rsid w:val="006F407A"/>
    <w:rsid w:val="006F5F01"/>
    <w:rsid w:val="006F610D"/>
    <w:rsid w:val="006F63BB"/>
    <w:rsid w:val="006F7146"/>
    <w:rsid w:val="00700104"/>
    <w:rsid w:val="00703E9A"/>
    <w:rsid w:val="00704B52"/>
    <w:rsid w:val="00710ED3"/>
    <w:rsid w:val="00711E3C"/>
    <w:rsid w:val="007124EB"/>
    <w:rsid w:val="00715F40"/>
    <w:rsid w:val="00717C4C"/>
    <w:rsid w:val="00720BD0"/>
    <w:rsid w:val="007214A8"/>
    <w:rsid w:val="0072317A"/>
    <w:rsid w:val="0072447F"/>
    <w:rsid w:val="00725A7E"/>
    <w:rsid w:val="007272C4"/>
    <w:rsid w:val="00730421"/>
    <w:rsid w:val="00733667"/>
    <w:rsid w:val="0073636E"/>
    <w:rsid w:val="0073763B"/>
    <w:rsid w:val="007400E0"/>
    <w:rsid w:val="0074057E"/>
    <w:rsid w:val="00741409"/>
    <w:rsid w:val="00742223"/>
    <w:rsid w:val="0074242A"/>
    <w:rsid w:val="0074457E"/>
    <w:rsid w:val="0074524E"/>
    <w:rsid w:val="0074542B"/>
    <w:rsid w:val="00745E9F"/>
    <w:rsid w:val="00754649"/>
    <w:rsid w:val="007570AE"/>
    <w:rsid w:val="007604FF"/>
    <w:rsid w:val="007610DF"/>
    <w:rsid w:val="007644C1"/>
    <w:rsid w:val="0076645F"/>
    <w:rsid w:val="00770845"/>
    <w:rsid w:val="00780951"/>
    <w:rsid w:val="007833AC"/>
    <w:rsid w:val="00786BD8"/>
    <w:rsid w:val="00787007"/>
    <w:rsid w:val="007904DC"/>
    <w:rsid w:val="007A37F2"/>
    <w:rsid w:val="007A3AB2"/>
    <w:rsid w:val="007A56E2"/>
    <w:rsid w:val="007A686E"/>
    <w:rsid w:val="007A71A7"/>
    <w:rsid w:val="007A7640"/>
    <w:rsid w:val="007B1193"/>
    <w:rsid w:val="007B5446"/>
    <w:rsid w:val="007B7451"/>
    <w:rsid w:val="007C046F"/>
    <w:rsid w:val="007C26D7"/>
    <w:rsid w:val="007C39B2"/>
    <w:rsid w:val="007C5B09"/>
    <w:rsid w:val="007C6E8B"/>
    <w:rsid w:val="007C7052"/>
    <w:rsid w:val="007D2999"/>
    <w:rsid w:val="007D3FC6"/>
    <w:rsid w:val="007D590C"/>
    <w:rsid w:val="007D5CD8"/>
    <w:rsid w:val="007D7222"/>
    <w:rsid w:val="007D75C0"/>
    <w:rsid w:val="007D7FD3"/>
    <w:rsid w:val="007E07A5"/>
    <w:rsid w:val="007E1355"/>
    <w:rsid w:val="007E6984"/>
    <w:rsid w:val="007F2A54"/>
    <w:rsid w:val="007F31DD"/>
    <w:rsid w:val="007F3F2A"/>
    <w:rsid w:val="007F4229"/>
    <w:rsid w:val="007F49F5"/>
    <w:rsid w:val="007F4B9D"/>
    <w:rsid w:val="007F4F0D"/>
    <w:rsid w:val="007F4F2A"/>
    <w:rsid w:val="007F5FE8"/>
    <w:rsid w:val="007F6078"/>
    <w:rsid w:val="007F62C0"/>
    <w:rsid w:val="00800A15"/>
    <w:rsid w:val="00802022"/>
    <w:rsid w:val="00802DCB"/>
    <w:rsid w:val="00806BAE"/>
    <w:rsid w:val="008078DC"/>
    <w:rsid w:val="00807CA3"/>
    <w:rsid w:val="00812957"/>
    <w:rsid w:val="00813C12"/>
    <w:rsid w:val="008153A9"/>
    <w:rsid w:val="008243A6"/>
    <w:rsid w:val="00824BDB"/>
    <w:rsid w:val="00827013"/>
    <w:rsid w:val="0084146D"/>
    <w:rsid w:val="00841893"/>
    <w:rsid w:val="00841F19"/>
    <w:rsid w:val="00845105"/>
    <w:rsid w:val="008458A1"/>
    <w:rsid w:val="0085182E"/>
    <w:rsid w:val="00851DB6"/>
    <w:rsid w:val="008530AD"/>
    <w:rsid w:val="0085531E"/>
    <w:rsid w:val="00857538"/>
    <w:rsid w:val="00857638"/>
    <w:rsid w:val="00861DA8"/>
    <w:rsid w:val="008624EA"/>
    <w:rsid w:val="00863C01"/>
    <w:rsid w:val="00864206"/>
    <w:rsid w:val="00865CA2"/>
    <w:rsid w:val="00866290"/>
    <w:rsid w:val="00866952"/>
    <w:rsid w:val="00867E1B"/>
    <w:rsid w:val="0087089F"/>
    <w:rsid w:val="00871CC4"/>
    <w:rsid w:val="008803E1"/>
    <w:rsid w:val="00881240"/>
    <w:rsid w:val="008849B5"/>
    <w:rsid w:val="008878DA"/>
    <w:rsid w:val="00890AF0"/>
    <w:rsid w:val="00892D0C"/>
    <w:rsid w:val="00896F83"/>
    <w:rsid w:val="008A21B2"/>
    <w:rsid w:val="008A253A"/>
    <w:rsid w:val="008A5A44"/>
    <w:rsid w:val="008B1F24"/>
    <w:rsid w:val="008B34B1"/>
    <w:rsid w:val="008B5814"/>
    <w:rsid w:val="008C038C"/>
    <w:rsid w:val="008C44BA"/>
    <w:rsid w:val="008C4D21"/>
    <w:rsid w:val="008C5780"/>
    <w:rsid w:val="008C5801"/>
    <w:rsid w:val="008C6018"/>
    <w:rsid w:val="008C6790"/>
    <w:rsid w:val="008D062B"/>
    <w:rsid w:val="008D169F"/>
    <w:rsid w:val="008D1D6F"/>
    <w:rsid w:val="008D2F17"/>
    <w:rsid w:val="008D3F8E"/>
    <w:rsid w:val="008D4ED6"/>
    <w:rsid w:val="008D5926"/>
    <w:rsid w:val="008D681F"/>
    <w:rsid w:val="008D71B7"/>
    <w:rsid w:val="008E281C"/>
    <w:rsid w:val="008E2AA0"/>
    <w:rsid w:val="008E516D"/>
    <w:rsid w:val="008E6BFB"/>
    <w:rsid w:val="008E6F79"/>
    <w:rsid w:val="008E72BA"/>
    <w:rsid w:val="008E7C2D"/>
    <w:rsid w:val="008F3DCB"/>
    <w:rsid w:val="008F4A42"/>
    <w:rsid w:val="008F7EA0"/>
    <w:rsid w:val="00900A84"/>
    <w:rsid w:val="00901C1B"/>
    <w:rsid w:val="009020D4"/>
    <w:rsid w:val="00903B95"/>
    <w:rsid w:val="00904E2B"/>
    <w:rsid w:val="00906140"/>
    <w:rsid w:val="00906285"/>
    <w:rsid w:val="00907970"/>
    <w:rsid w:val="00911461"/>
    <w:rsid w:val="009159C8"/>
    <w:rsid w:val="0091720A"/>
    <w:rsid w:val="009222B9"/>
    <w:rsid w:val="00922A3D"/>
    <w:rsid w:val="00922A58"/>
    <w:rsid w:val="009261AD"/>
    <w:rsid w:val="00926984"/>
    <w:rsid w:val="00930526"/>
    <w:rsid w:val="00931EBA"/>
    <w:rsid w:val="0093417E"/>
    <w:rsid w:val="00935823"/>
    <w:rsid w:val="00936A07"/>
    <w:rsid w:val="00937FCB"/>
    <w:rsid w:val="00945CC5"/>
    <w:rsid w:val="00946A07"/>
    <w:rsid w:val="00957EAD"/>
    <w:rsid w:val="00960938"/>
    <w:rsid w:val="00962EFE"/>
    <w:rsid w:val="00971770"/>
    <w:rsid w:val="00972020"/>
    <w:rsid w:val="0097213E"/>
    <w:rsid w:val="009722FE"/>
    <w:rsid w:val="00973AD6"/>
    <w:rsid w:val="00977D67"/>
    <w:rsid w:val="009813F7"/>
    <w:rsid w:val="00983B15"/>
    <w:rsid w:val="009866BF"/>
    <w:rsid w:val="0099378F"/>
    <w:rsid w:val="009946C8"/>
    <w:rsid w:val="009963CF"/>
    <w:rsid w:val="00997242"/>
    <w:rsid w:val="009A1949"/>
    <w:rsid w:val="009A349A"/>
    <w:rsid w:val="009A479F"/>
    <w:rsid w:val="009A5917"/>
    <w:rsid w:val="009A5C60"/>
    <w:rsid w:val="009A6BAB"/>
    <w:rsid w:val="009A7214"/>
    <w:rsid w:val="009A7CA3"/>
    <w:rsid w:val="009B0E98"/>
    <w:rsid w:val="009B32CA"/>
    <w:rsid w:val="009B54E6"/>
    <w:rsid w:val="009C0B37"/>
    <w:rsid w:val="009C2318"/>
    <w:rsid w:val="009C28B1"/>
    <w:rsid w:val="009C4F08"/>
    <w:rsid w:val="009C7294"/>
    <w:rsid w:val="009C77EB"/>
    <w:rsid w:val="009D0CBF"/>
    <w:rsid w:val="009D0CF2"/>
    <w:rsid w:val="009D2756"/>
    <w:rsid w:val="009E130C"/>
    <w:rsid w:val="009E238C"/>
    <w:rsid w:val="009E4304"/>
    <w:rsid w:val="009E7790"/>
    <w:rsid w:val="009E7E02"/>
    <w:rsid w:val="009E7F1F"/>
    <w:rsid w:val="009F288C"/>
    <w:rsid w:val="009F3B2E"/>
    <w:rsid w:val="009F42CD"/>
    <w:rsid w:val="00A0097A"/>
    <w:rsid w:val="00A11F7D"/>
    <w:rsid w:val="00A140C6"/>
    <w:rsid w:val="00A14A83"/>
    <w:rsid w:val="00A22435"/>
    <w:rsid w:val="00A23294"/>
    <w:rsid w:val="00A251C6"/>
    <w:rsid w:val="00A263AF"/>
    <w:rsid w:val="00A26526"/>
    <w:rsid w:val="00A26FBF"/>
    <w:rsid w:val="00A304A9"/>
    <w:rsid w:val="00A323BE"/>
    <w:rsid w:val="00A33BCE"/>
    <w:rsid w:val="00A3564A"/>
    <w:rsid w:val="00A37790"/>
    <w:rsid w:val="00A379FF"/>
    <w:rsid w:val="00A40894"/>
    <w:rsid w:val="00A41668"/>
    <w:rsid w:val="00A43D94"/>
    <w:rsid w:val="00A468C0"/>
    <w:rsid w:val="00A50654"/>
    <w:rsid w:val="00A51CAB"/>
    <w:rsid w:val="00A54746"/>
    <w:rsid w:val="00A56842"/>
    <w:rsid w:val="00A60144"/>
    <w:rsid w:val="00A61838"/>
    <w:rsid w:val="00A61A0C"/>
    <w:rsid w:val="00A64A8E"/>
    <w:rsid w:val="00A65034"/>
    <w:rsid w:val="00A66D30"/>
    <w:rsid w:val="00A67D26"/>
    <w:rsid w:val="00A703B9"/>
    <w:rsid w:val="00A70819"/>
    <w:rsid w:val="00A70B14"/>
    <w:rsid w:val="00A7116D"/>
    <w:rsid w:val="00A75DCB"/>
    <w:rsid w:val="00A77470"/>
    <w:rsid w:val="00A82744"/>
    <w:rsid w:val="00A8613A"/>
    <w:rsid w:val="00A90881"/>
    <w:rsid w:val="00A926C0"/>
    <w:rsid w:val="00A92C55"/>
    <w:rsid w:val="00A93EC7"/>
    <w:rsid w:val="00A94145"/>
    <w:rsid w:val="00A96485"/>
    <w:rsid w:val="00AA013B"/>
    <w:rsid w:val="00AA0D34"/>
    <w:rsid w:val="00AA44BB"/>
    <w:rsid w:val="00AA47FB"/>
    <w:rsid w:val="00AA626E"/>
    <w:rsid w:val="00AA6847"/>
    <w:rsid w:val="00AA6BF2"/>
    <w:rsid w:val="00AA76AF"/>
    <w:rsid w:val="00AB1EC9"/>
    <w:rsid w:val="00AC0A33"/>
    <w:rsid w:val="00AC2A64"/>
    <w:rsid w:val="00AC3FF6"/>
    <w:rsid w:val="00AC4EC4"/>
    <w:rsid w:val="00AC6146"/>
    <w:rsid w:val="00AC6915"/>
    <w:rsid w:val="00AD083F"/>
    <w:rsid w:val="00AD0FB8"/>
    <w:rsid w:val="00AD2C7B"/>
    <w:rsid w:val="00AD4F63"/>
    <w:rsid w:val="00AE4556"/>
    <w:rsid w:val="00AE5520"/>
    <w:rsid w:val="00AE587E"/>
    <w:rsid w:val="00AE7E6E"/>
    <w:rsid w:val="00AF0502"/>
    <w:rsid w:val="00AF06B7"/>
    <w:rsid w:val="00AF1B1B"/>
    <w:rsid w:val="00AF1D61"/>
    <w:rsid w:val="00AF1EDA"/>
    <w:rsid w:val="00AF2C44"/>
    <w:rsid w:val="00AF5C4B"/>
    <w:rsid w:val="00AF6A82"/>
    <w:rsid w:val="00B03A22"/>
    <w:rsid w:val="00B03FC5"/>
    <w:rsid w:val="00B04144"/>
    <w:rsid w:val="00B0467E"/>
    <w:rsid w:val="00B05571"/>
    <w:rsid w:val="00B05A35"/>
    <w:rsid w:val="00B06D5B"/>
    <w:rsid w:val="00B07EEE"/>
    <w:rsid w:val="00B1083B"/>
    <w:rsid w:val="00B12FA3"/>
    <w:rsid w:val="00B131B4"/>
    <w:rsid w:val="00B208D9"/>
    <w:rsid w:val="00B22315"/>
    <w:rsid w:val="00B27822"/>
    <w:rsid w:val="00B30CDC"/>
    <w:rsid w:val="00B30D59"/>
    <w:rsid w:val="00B31837"/>
    <w:rsid w:val="00B33372"/>
    <w:rsid w:val="00B33EDF"/>
    <w:rsid w:val="00B34A1E"/>
    <w:rsid w:val="00B352BD"/>
    <w:rsid w:val="00B36519"/>
    <w:rsid w:val="00B36E0E"/>
    <w:rsid w:val="00B40DFE"/>
    <w:rsid w:val="00B41630"/>
    <w:rsid w:val="00B42C94"/>
    <w:rsid w:val="00B4344D"/>
    <w:rsid w:val="00B50A58"/>
    <w:rsid w:val="00B51EF7"/>
    <w:rsid w:val="00B566B7"/>
    <w:rsid w:val="00B5799F"/>
    <w:rsid w:val="00B60B10"/>
    <w:rsid w:val="00B6125B"/>
    <w:rsid w:val="00B61E6C"/>
    <w:rsid w:val="00B7012E"/>
    <w:rsid w:val="00B70758"/>
    <w:rsid w:val="00B707A0"/>
    <w:rsid w:val="00B72FDB"/>
    <w:rsid w:val="00B759DC"/>
    <w:rsid w:val="00B80FC2"/>
    <w:rsid w:val="00B81D97"/>
    <w:rsid w:val="00B83250"/>
    <w:rsid w:val="00B83BFB"/>
    <w:rsid w:val="00B855A5"/>
    <w:rsid w:val="00B8798B"/>
    <w:rsid w:val="00B9411C"/>
    <w:rsid w:val="00B95342"/>
    <w:rsid w:val="00BA005E"/>
    <w:rsid w:val="00BA127A"/>
    <w:rsid w:val="00BA4D2F"/>
    <w:rsid w:val="00BA67DA"/>
    <w:rsid w:val="00BA68B0"/>
    <w:rsid w:val="00BB0152"/>
    <w:rsid w:val="00BB0F63"/>
    <w:rsid w:val="00BB2FB1"/>
    <w:rsid w:val="00BB3688"/>
    <w:rsid w:val="00BC10C7"/>
    <w:rsid w:val="00BC1679"/>
    <w:rsid w:val="00BC1F1B"/>
    <w:rsid w:val="00BC4C32"/>
    <w:rsid w:val="00BC6BCC"/>
    <w:rsid w:val="00BD040A"/>
    <w:rsid w:val="00BD718F"/>
    <w:rsid w:val="00BE023F"/>
    <w:rsid w:val="00BE1281"/>
    <w:rsid w:val="00BE2B3B"/>
    <w:rsid w:val="00BE39DD"/>
    <w:rsid w:val="00BE5B5D"/>
    <w:rsid w:val="00BE6CAF"/>
    <w:rsid w:val="00BE77DF"/>
    <w:rsid w:val="00BF083E"/>
    <w:rsid w:val="00BF0B65"/>
    <w:rsid w:val="00BF208C"/>
    <w:rsid w:val="00BF2970"/>
    <w:rsid w:val="00BF549A"/>
    <w:rsid w:val="00BF61C2"/>
    <w:rsid w:val="00C0019C"/>
    <w:rsid w:val="00C04465"/>
    <w:rsid w:val="00C05370"/>
    <w:rsid w:val="00C10822"/>
    <w:rsid w:val="00C1117E"/>
    <w:rsid w:val="00C12BB2"/>
    <w:rsid w:val="00C13B46"/>
    <w:rsid w:val="00C16B84"/>
    <w:rsid w:val="00C16BCF"/>
    <w:rsid w:val="00C16FA5"/>
    <w:rsid w:val="00C2008A"/>
    <w:rsid w:val="00C21D5B"/>
    <w:rsid w:val="00C234D4"/>
    <w:rsid w:val="00C23E1A"/>
    <w:rsid w:val="00C2694D"/>
    <w:rsid w:val="00C27B99"/>
    <w:rsid w:val="00C3439B"/>
    <w:rsid w:val="00C345AB"/>
    <w:rsid w:val="00C362D9"/>
    <w:rsid w:val="00C367B7"/>
    <w:rsid w:val="00C40B8C"/>
    <w:rsid w:val="00C40D8B"/>
    <w:rsid w:val="00C41801"/>
    <w:rsid w:val="00C42532"/>
    <w:rsid w:val="00C4554C"/>
    <w:rsid w:val="00C475E8"/>
    <w:rsid w:val="00C47B17"/>
    <w:rsid w:val="00C526B7"/>
    <w:rsid w:val="00C56F72"/>
    <w:rsid w:val="00C626DA"/>
    <w:rsid w:val="00C62BE7"/>
    <w:rsid w:val="00C6436F"/>
    <w:rsid w:val="00C70F6D"/>
    <w:rsid w:val="00C71DA8"/>
    <w:rsid w:val="00C7244E"/>
    <w:rsid w:val="00C7402E"/>
    <w:rsid w:val="00C8192B"/>
    <w:rsid w:val="00C81F0C"/>
    <w:rsid w:val="00C82405"/>
    <w:rsid w:val="00C842B3"/>
    <w:rsid w:val="00C85B5C"/>
    <w:rsid w:val="00C87707"/>
    <w:rsid w:val="00C90241"/>
    <w:rsid w:val="00C93E23"/>
    <w:rsid w:val="00C97B7F"/>
    <w:rsid w:val="00CA2917"/>
    <w:rsid w:val="00CA6077"/>
    <w:rsid w:val="00CA72DB"/>
    <w:rsid w:val="00CA77E5"/>
    <w:rsid w:val="00CB11B2"/>
    <w:rsid w:val="00CB14AB"/>
    <w:rsid w:val="00CC08DC"/>
    <w:rsid w:val="00CC42C7"/>
    <w:rsid w:val="00CC5D63"/>
    <w:rsid w:val="00CC6EA8"/>
    <w:rsid w:val="00CC7B09"/>
    <w:rsid w:val="00CD009F"/>
    <w:rsid w:val="00CD1CBD"/>
    <w:rsid w:val="00CD1FED"/>
    <w:rsid w:val="00CD2DBA"/>
    <w:rsid w:val="00CD4EA9"/>
    <w:rsid w:val="00CD6841"/>
    <w:rsid w:val="00CD7873"/>
    <w:rsid w:val="00CE3C63"/>
    <w:rsid w:val="00CF00A3"/>
    <w:rsid w:val="00CF0AEE"/>
    <w:rsid w:val="00CF298C"/>
    <w:rsid w:val="00CF2FED"/>
    <w:rsid w:val="00CF383E"/>
    <w:rsid w:val="00CF619E"/>
    <w:rsid w:val="00CF6245"/>
    <w:rsid w:val="00CF7865"/>
    <w:rsid w:val="00CF7F44"/>
    <w:rsid w:val="00D00D05"/>
    <w:rsid w:val="00D01C3B"/>
    <w:rsid w:val="00D034AD"/>
    <w:rsid w:val="00D15E17"/>
    <w:rsid w:val="00D210E5"/>
    <w:rsid w:val="00D23411"/>
    <w:rsid w:val="00D23BC1"/>
    <w:rsid w:val="00D2477D"/>
    <w:rsid w:val="00D25A41"/>
    <w:rsid w:val="00D25B07"/>
    <w:rsid w:val="00D26C85"/>
    <w:rsid w:val="00D31469"/>
    <w:rsid w:val="00D34C3D"/>
    <w:rsid w:val="00D36E7C"/>
    <w:rsid w:val="00D374E6"/>
    <w:rsid w:val="00D43900"/>
    <w:rsid w:val="00D440AF"/>
    <w:rsid w:val="00D4423D"/>
    <w:rsid w:val="00D469B0"/>
    <w:rsid w:val="00D4713F"/>
    <w:rsid w:val="00D5113D"/>
    <w:rsid w:val="00D5151B"/>
    <w:rsid w:val="00D51A6D"/>
    <w:rsid w:val="00D52562"/>
    <w:rsid w:val="00D52D64"/>
    <w:rsid w:val="00D53DEB"/>
    <w:rsid w:val="00D551F2"/>
    <w:rsid w:val="00D55694"/>
    <w:rsid w:val="00D567C1"/>
    <w:rsid w:val="00D60BCF"/>
    <w:rsid w:val="00D6124B"/>
    <w:rsid w:val="00D61919"/>
    <w:rsid w:val="00D64867"/>
    <w:rsid w:val="00D6500E"/>
    <w:rsid w:val="00D7051C"/>
    <w:rsid w:val="00D7362C"/>
    <w:rsid w:val="00D76682"/>
    <w:rsid w:val="00D833AD"/>
    <w:rsid w:val="00D83D78"/>
    <w:rsid w:val="00D90217"/>
    <w:rsid w:val="00D9176D"/>
    <w:rsid w:val="00D939BE"/>
    <w:rsid w:val="00D9486F"/>
    <w:rsid w:val="00D96E59"/>
    <w:rsid w:val="00D97120"/>
    <w:rsid w:val="00D97D21"/>
    <w:rsid w:val="00DA1EC5"/>
    <w:rsid w:val="00DA3E09"/>
    <w:rsid w:val="00DA3F99"/>
    <w:rsid w:val="00DA4876"/>
    <w:rsid w:val="00DA60A0"/>
    <w:rsid w:val="00DA7926"/>
    <w:rsid w:val="00DB0160"/>
    <w:rsid w:val="00DB3352"/>
    <w:rsid w:val="00DB439C"/>
    <w:rsid w:val="00DB4639"/>
    <w:rsid w:val="00DB4D83"/>
    <w:rsid w:val="00DB618B"/>
    <w:rsid w:val="00DB6E50"/>
    <w:rsid w:val="00DB6EE4"/>
    <w:rsid w:val="00DB733A"/>
    <w:rsid w:val="00DC147F"/>
    <w:rsid w:val="00DC3C81"/>
    <w:rsid w:val="00DC5F94"/>
    <w:rsid w:val="00DC6271"/>
    <w:rsid w:val="00DD0B06"/>
    <w:rsid w:val="00DD0F5F"/>
    <w:rsid w:val="00DD56C8"/>
    <w:rsid w:val="00DD5822"/>
    <w:rsid w:val="00DD5FC6"/>
    <w:rsid w:val="00DD66E8"/>
    <w:rsid w:val="00DD6BDC"/>
    <w:rsid w:val="00DD7B1F"/>
    <w:rsid w:val="00DE0C31"/>
    <w:rsid w:val="00DE7350"/>
    <w:rsid w:val="00DE75CA"/>
    <w:rsid w:val="00DE7C0A"/>
    <w:rsid w:val="00DF15CD"/>
    <w:rsid w:val="00DF2380"/>
    <w:rsid w:val="00E00281"/>
    <w:rsid w:val="00E044DE"/>
    <w:rsid w:val="00E10EE9"/>
    <w:rsid w:val="00E11BDB"/>
    <w:rsid w:val="00E2501C"/>
    <w:rsid w:val="00E3141E"/>
    <w:rsid w:val="00E33703"/>
    <w:rsid w:val="00E41B31"/>
    <w:rsid w:val="00E42174"/>
    <w:rsid w:val="00E4278C"/>
    <w:rsid w:val="00E46FC2"/>
    <w:rsid w:val="00E50477"/>
    <w:rsid w:val="00E5285A"/>
    <w:rsid w:val="00E5318A"/>
    <w:rsid w:val="00E56314"/>
    <w:rsid w:val="00E57E30"/>
    <w:rsid w:val="00E61B20"/>
    <w:rsid w:val="00E659F2"/>
    <w:rsid w:val="00E665A8"/>
    <w:rsid w:val="00E7480B"/>
    <w:rsid w:val="00E771F1"/>
    <w:rsid w:val="00E801ED"/>
    <w:rsid w:val="00E80C3B"/>
    <w:rsid w:val="00E817EC"/>
    <w:rsid w:val="00E82001"/>
    <w:rsid w:val="00E82CAF"/>
    <w:rsid w:val="00E84C0E"/>
    <w:rsid w:val="00E84F95"/>
    <w:rsid w:val="00E9305D"/>
    <w:rsid w:val="00E93582"/>
    <w:rsid w:val="00E93B72"/>
    <w:rsid w:val="00E958D5"/>
    <w:rsid w:val="00E966A5"/>
    <w:rsid w:val="00E96D29"/>
    <w:rsid w:val="00E97709"/>
    <w:rsid w:val="00EA1B40"/>
    <w:rsid w:val="00EA413E"/>
    <w:rsid w:val="00EA4C2D"/>
    <w:rsid w:val="00EA51FE"/>
    <w:rsid w:val="00EB0588"/>
    <w:rsid w:val="00EB1DFD"/>
    <w:rsid w:val="00EB1E40"/>
    <w:rsid w:val="00EB3011"/>
    <w:rsid w:val="00EB4950"/>
    <w:rsid w:val="00EB530C"/>
    <w:rsid w:val="00EB5BD6"/>
    <w:rsid w:val="00EB64CC"/>
    <w:rsid w:val="00EC02C0"/>
    <w:rsid w:val="00EC05EE"/>
    <w:rsid w:val="00EC32AF"/>
    <w:rsid w:val="00EC36A7"/>
    <w:rsid w:val="00EC393E"/>
    <w:rsid w:val="00EC5E7A"/>
    <w:rsid w:val="00ED052D"/>
    <w:rsid w:val="00ED0C1C"/>
    <w:rsid w:val="00ED4CA8"/>
    <w:rsid w:val="00ED4FAB"/>
    <w:rsid w:val="00ED72A8"/>
    <w:rsid w:val="00EE0CF7"/>
    <w:rsid w:val="00EE1691"/>
    <w:rsid w:val="00EE1B88"/>
    <w:rsid w:val="00EE5DA0"/>
    <w:rsid w:val="00EE5EB4"/>
    <w:rsid w:val="00EE68EE"/>
    <w:rsid w:val="00EE7A9A"/>
    <w:rsid w:val="00EF1373"/>
    <w:rsid w:val="00EF2ACE"/>
    <w:rsid w:val="00EF2D2E"/>
    <w:rsid w:val="00EF3551"/>
    <w:rsid w:val="00EF4A42"/>
    <w:rsid w:val="00EF4BD2"/>
    <w:rsid w:val="00EF5E77"/>
    <w:rsid w:val="00EF6F32"/>
    <w:rsid w:val="00EF7EA5"/>
    <w:rsid w:val="00F004A8"/>
    <w:rsid w:val="00F01598"/>
    <w:rsid w:val="00F016B3"/>
    <w:rsid w:val="00F04E93"/>
    <w:rsid w:val="00F06B36"/>
    <w:rsid w:val="00F10679"/>
    <w:rsid w:val="00F140AD"/>
    <w:rsid w:val="00F15859"/>
    <w:rsid w:val="00F1736A"/>
    <w:rsid w:val="00F17639"/>
    <w:rsid w:val="00F2121C"/>
    <w:rsid w:val="00F212CB"/>
    <w:rsid w:val="00F239F7"/>
    <w:rsid w:val="00F25868"/>
    <w:rsid w:val="00F25B33"/>
    <w:rsid w:val="00F26515"/>
    <w:rsid w:val="00F27C0C"/>
    <w:rsid w:val="00F27CF6"/>
    <w:rsid w:val="00F30D1A"/>
    <w:rsid w:val="00F32510"/>
    <w:rsid w:val="00F345EE"/>
    <w:rsid w:val="00F356A9"/>
    <w:rsid w:val="00F359E7"/>
    <w:rsid w:val="00F35FED"/>
    <w:rsid w:val="00F41FFE"/>
    <w:rsid w:val="00F420AF"/>
    <w:rsid w:val="00F42667"/>
    <w:rsid w:val="00F4331C"/>
    <w:rsid w:val="00F433A8"/>
    <w:rsid w:val="00F46084"/>
    <w:rsid w:val="00F47444"/>
    <w:rsid w:val="00F50A6D"/>
    <w:rsid w:val="00F514D1"/>
    <w:rsid w:val="00F54108"/>
    <w:rsid w:val="00F57E25"/>
    <w:rsid w:val="00F60169"/>
    <w:rsid w:val="00F60F25"/>
    <w:rsid w:val="00F61A9C"/>
    <w:rsid w:val="00F62110"/>
    <w:rsid w:val="00F62A00"/>
    <w:rsid w:val="00F63589"/>
    <w:rsid w:val="00F64210"/>
    <w:rsid w:val="00F66A14"/>
    <w:rsid w:val="00F67240"/>
    <w:rsid w:val="00F7088B"/>
    <w:rsid w:val="00F728EF"/>
    <w:rsid w:val="00F73C95"/>
    <w:rsid w:val="00F74BCF"/>
    <w:rsid w:val="00F80655"/>
    <w:rsid w:val="00F838B8"/>
    <w:rsid w:val="00F83E17"/>
    <w:rsid w:val="00F86D8B"/>
    <w:rsid w:val="00F90498"/>
    <w:rsid w:val="00F91ECB"/>
    <w:rsid w:val="00F964F4"/>
    <w:rsid w:val="00F9686D"/>
    <w:rsid w:val="00F96F2D"/>
    <w:rsid w:val="00F9734D"/>
    <w:rsid w:val="00F977CE"/>
    <w:rsid w:val="00FA1158"/>
    <w:rsid w:val="00FA2B6F"/>
    <w:rsid w:val="00FA4C96"/>
    <w:rsid w:val="00FA5EF8"/>
    <w:rsid w:val="00FB341A"/>
    <w:rsid w:val="00FB5B10"/>
    <w:rsid w:val="00FB5EA6"/>
    <w:rsid w:val="00FC1F81"/>
    <w:rsid w:val="00FC4486"/>
    <w:rsid w:val="00FC4561"/>
    <w:rsid w:val="00FC4A38"/>
    <w:rsid w:val="00FC5C53"/>
    <w:rsid w:val="00FC6415"/>
    <w:rsid w:val="00FC6F32"/>
    <w:rsid w:val="00FC7E90"/>
    <w:rsid w:val="00FD13B1"/>
    <w:rsid w:val="00FD2F59"/>
    <w:rsid w:val="00FD38DE"/>
    <w:rsid w:val="00FD5B46"/>
    <w:rsid w:val="00FD6B9A"/>
    <w:rsid w:val="00FD7BEA"/>
    <w:rsid w:val="00FE0011"/>
    <w:rsid w:val="00FE05EB"/>
    <w:rsid w:val="00FE4676"/>
    <w:rsid w:val="00FE6F9D"/>
    <w:rsid w:val="00FF170E"/>
    <w:rsid w:val="00FF2F1D"/>
    <w:rsid w:val="00FF5716"/>
    <w:rsid w:val="00FF7A47"/>
    <w:rsid w:val="3F686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4661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52"/>
    <w:rPr>
      <w:lang w:val="en-GB"/>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CC7B09"/>
    <w:pPr>
      <w:tabs>
        <w:tab w:val="right" w:leader="dot" w:pos="9514"/>
      </w:tabs>
      <w:spacing w:after="10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aliases w:val="F List Paragraph"/>
    <w:basedOn w:val="Normal"/>
    <w:link w:val="ListParagraphChar"/>
    <w:uiPriority w:val="34"/>
    <w:qFormat/>
    <w:rsid w:val="00ED0C1C"/>
    <w:pPr>
      <w:spacing w:after="200"/>
      <w:jc w:val="both"/>
    </w:pPr>
    <w:rPr>
      <w:rFonts w:ascii="Calibri" w:eastAsia="Calibri" w:hAnsi="Calibri" w:cs="Times New Roman"/>
    </w:rPr>
  </w:style>
  <w:style w:type="character" w:customStyle="1" w:styleId="ListParagraphChar">
    <w:name w:val="List Paragraph Char"/>
    <w:aliases w:val="F List Paragraph Char"/>
    <w:basedOn w:val="DefaultParagraphFont"/>
    <w:link w:val="ListParagraph"/>
    <w:uiPriority w:val="34"/>
    <w:rsid w:val="00ED0C1C"/>
    <w:rPr>
      <w:rFonts w:ascii="Calibri" w:eastAsia="Calibri" w:hAnsi="Calibri" w:cs="Times New Roman"/>
      <w:lang w:val="en-GB"/>
    </w:rPr>
  </w:style>
  <w:style w:type="paragraph" w:styleId="NormalWeb">
    <w:name w:val="Normal (Web)"/>
    <w:basedOn w:val="Normal"/>
    <w:uiPriority w:val="99"/>
    <w:unhideWhenUsed/>
    <w:rsid w:val="00F06B36"/>
    <w:pPr>
      <w:spacing w:before="100" w:beforeAutospacing="1" w:after="100" w:afterAutospacing="1"/>
    </w:pPr>
    <w:rPr>
      <w:rFonts w:ascii="Times New Roman" w:eastAsia="Times New Roman" w:hAnsi="Times New Roman" w:cs="Times New Roman"/>
      <w:sz w:val="24"/>
      <w:szCs w:val="24"/>
      <w:lang w:val="cs-CZ" w:eastAsia="cs-CZ"/>
    </w:rPr>
  </w:style>
  <w:style w:type="character" w:styleId="CommentReference">
    <w:name w:val="annotation reference"/>
    <w:aliases w:val="Stinking Styles6,Marque de commentaire1,Kommentarzeichen"/>
    <w:basedOn w:val="DefaultParagraphFont"/>
    <w:uiPriority w:val="99"/>
    <w:unhideWhenUsed/>
    <w:rsid w:val="003D68E6"/>
    <w:rPr>
      <w:sz w:val="16"/>
      <w:szCs w:val="16"/>
    </w:rPr>
  </w:style>
  <w:style w:type="paragraph" w:styleId="CommentText">
    <w:name w:val="annotation text"/>
    <w:aliases w:val="Stinking Styles5,Kommentartext"/>
    <w:basedOn w:val="Normal"/>
    <w:link w:val="CommentTextChar"/>
    <w:uiPriority w:val="99"/>
    <w:unhideWhenUsed/>
    <w:rsid w:val="003D68E6"/>
    <w:rPr>
      <w:sz w:val="20"/>
      <w:szCs w:val="20"/>
    </w:rPr>
  </w:style>
  <w:style w:type="character" w:customStyle="1" w:styleId="CommentTextChar">
    <w:name w:val="Comment Text Char"/>
    <w:aliases w:val="Stinking Styles5 Char,Kommentartext Char"/>
    <w:basedOn w:val="DefaultParagraphFont"/>
    <w:link w:val="CommentText"/>
    <w:uiPriority w:val="99"/>
    <w:rsid w:val="003D68E6"/>
    <w:rPr>
      <w:sz w:val="20"/>
      <w:szCs w:val="20"/>
      <w:lang w:val="en-GB"/>
    </w:rPr>
  </w:style>
  <w:style w:type="paragraph" w:styleId="CommentSubject">
    <w:name w:val="annotation subject"/>
    <w:basedOn w:val="CommentText"/>
    <w:next w:val="CommentText"/>
    <w:link w:val="CommentSubjectChar"/>
    <w:uiPriority w:val="99"/>
    <w:semiHidden/>
    <w:unhideWhenUsed/>
    <w:rsid w:val="003D68E6"/>
    <w:rPr>
      <w:b/>
      <w:bCs/>
    </w:rPr>
  </w:style>
  <w:style w:type="character" w:customStyle="1" w:styleId="CommentSubjectChar">
    <w:name w:val="Comment Subject Char"/>
    <w:basedOn w:val="CommentTextChar"/>
    <w:link w:val="CommentSubject"/>
    <w:uiPriority w:val="99"/>
    <w:semiHidden/>
    <w:rsid w:val="003D68E6"/>
    <w:rPr>
      <w:b/>
      <w:bCs/>
      <w:sz w:val="20"/>
      <w:szCs w:val="20"/>
      <w:lang w:val="en-GB"/>
    </w:rPr>
  </w:style>
  <w:style w:type="paragraph" w:customStyle="1" w:styleId="Default">
    <w:name w:val="Default"/>
    <w:rsid w:val="00160131"/>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leNormal"/>
    <w:next w:val="TableGrid"/>
    <w:uiPriority w:val="39"/>
    <w:rsid w:val="0027115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5E1"/>
    <w:rPr>
      <w:color w:val="800080" w:themeColor="followedHyperlink"/>
      <w:u w:val="single"/>
    </w:rPr>
  </w:style>
  <w:style w:type="paragraph" w:customStyle="1" w:styleId="Sub-articlenumbered">
    <w:name w:val="Sub-article numbered"/>
    <w:basedOn w:val="ListParagraph"/>
    <w:qFormat/>
    <w:rsid w:val="00F54108"/>
    <w:pPr>
      <w:spacing w:before="240" w:after="240" w:line="259" w:lineRule="auto"/>
      <w:ind w:left="502" w:hanging="360"/>
    </w:pPr>
    <w:rPr>
      <w:rFonts w:asciiTheme="minorHAnsi" w:eastAsiaTheme="minorHAnsi" w:hAnsiTheme="minorHAnsi" w:cstheme="minorBidi"/>
      <w:lang w:val="fi-FI"/>
    </w:rPr>
  </w:style>
  <w:style w:type="paragraph" w:styleId="FootnoteText">
    <w:name w:val="footnote text"/>
    <w:basedOn w:val="Normal"/>
    <w:link w:val="FootnoteTextChar"/>
    <w:uiPriority w:val="99"/>
    <w:semiHidden/>
    <w:unhideWhenUsed/>
    <w:rsid w:val="00F47444"/>
    <w:rPr>
      <w:sz w:val="20"/>
      <w:szCs w:val="20"/>
    </w:rPr>
  </w:style>
  <w:style w:type="character" w:customStyle="1" w:styleId="FootnoteTextChar">
    <w:name w:val="Footnote Text Char"/>
    <w:basedOn w:val="DefaultParagraphFont"/>
    <w:link w:val="FootnoteText"/>
    <w:uiPriority w:val="99"/>
    <w:semiHidden/>
    <w:rsid w:val="00F47444"/>
    <w:rPr>
      <w:sz w:val="20"/>
      <w:szCs w:val="20"/>
      <w:lang w:val="en-GB"/>
    </w:rPr>
  </w:style>
  <w:style w:type="character" w:styleId="FootnoteReference">
    <w:name w:val="footnote reference"/>
    <w:basedOn w:val="DefaultParagraphFont"/>
    <w:uiPriority w:val="99"/>
    <w:semiHidden/>
    <w:unhideWhenUsed/>
    <w:rsid w:val="00F47444"/>
    <w:rPr>
      <w:vertAlign w:val="superscript"/>
    </w:rPr>
  </w:style>
  <w:style w:type="paragraph" w:customStyle="1" w:styleId="BArticleNo">
    <w:name w:val="B Article No"/>
    <w:basedOn w:val="Normal"/>
    <w:next w:val="Normal"/>
    <w:link w:val="BArticleNoChar"/>
    <w:qFormat/>
    <w:rsid w:val="00A37790"/>
    <w:pPr>
      <w:keepNext/>
      <w:adjustRightInd w:val="0"/>
      <w:spacing w:after="120"/>
      <w:jc w:val="center"/>
      <w:textAlignment w:val="baseline"/>
      <w:outlineLvl w:val="1"/>
    </w:pPr>
    <w:rPr>
      <w:rFonts w:ascii="Calibri" w:eastAsia="Times New Roman" w:hAnsi="Calibri" w:cs="Calibri"/>
      <w:b/>
      <w:color w:val="000000"/>
      <w:szCs w:val="24"/>
      <w:lang w:eastAsia="de-DE"/>
    </w:rPr>
  </w:style>
  <w:style w:type="character" w:customStyle="1" w:styleId="BArticleNoChar">
    <w:name w:val="B Article No Char"/>
    <w:link w:val="BArticleNo"/>
    <w:rsid w:val="00A37790"/>
    <w:rPr>
      <w:rFonts w:ascii="Calibri" w:eastAsia="Times New Roman" w:hAnsi="Calibri" w:cs="Calibri"/>
      <w:b/>
      <w:color w:val="000000"/>
      <w:szCs w:val="24"/>
      <w:lang w:val="en-GB" w:eastAsia="de-DE"/>
    </w:rPr>
  </w:style>
  <w:style w:type="paragraph" w:styleId="Revision">
    <w:name w:val="Revision"/>
    <w:hidden/>
    <w:uiPriority w:val="99"/>
    <w:semiHidden/>
    <w:rsid w:val="00FB5E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042">
      <w:bodyDiv w:val="1"/>
      <w:marLeft w:val="0"/>
      <w:marRight w:val="0"/>
      <w:marTop w:val="0"/>
      <w:marBottom w:val="0"/>
      <w:divBdr>
        <w:top w:val="none" w:sz="0" w:space="0" w:color="auto"/>
        <w:left w:val="none" w:sz="0" w:space="0" w:color="auto"/>
        <w:bottom w:val="none" w:sz="0" w:space="0" w:color="auto"/>
        <w:right w:val="none" w:sz="0" w:space="0" w:color="auto"/>
      </w:divBdr>
    </w:div>
    <w:div w:id="230696897">
      <w:bodyDiv w:val="1"/>
      <w:marLeft w:val="0"/>
      <w:marRight w:val="0"/>
      <w:marTop w:val="0"/>
      <w:marBottom w:val="0"/>
      <w:divBdr>
        <w:top w:val="none" w:sz="0" w:space="0" w:color="auto"/>
        <w:left w:val="none" w:sz="0" w:space="0" w:color="auto"/>
        <w:bottom w:val="none" w:sz="0" w:space="0" w:color="auto"/>
        <w:right w:val="none" w:sz="0" w:space="0" w:color="auto"/>
      </w:divBdr>
    </w:div>
    <w:div w:id="540869758">
      <w:bodyDiv w:val="1"/>
      <w:marLeft w:val="0"/>
      <w:marRight w:val="0"/>
      <w:marTop w:val="0"/>
      <w:marBottom w:val="0"/>
      <w:divBdr>
        <w:top w:val="none" w:sz="0" w:space="0" w:color="auto"/>
        <w:left w:val="none" w:sz="0" w:space="0" w:color="auto"/>
        <w:bottom w:val="none" w:sz="0" w:space="0" w:color="auto"/>
        <w:right w:val="none" w:sz="0" w:space="0" w:color="auto"/>
      </w:divBdr>
      <w:divsChild>
        <w:div w:id="642004039">
          <w:marLeft w:val="0"/>
          <w:marRight w:val="0"/>
          <w:marTop w:val="0"/>
          <w:marBottom w:val="0"/>
          <w:divBdr>
            <w:top w:val="none" w:sz="0" w:space="0" w:color="auto"/>
            <w:left w:val="none" w:sz="0" w:space="0" w:color="auto"/>
            <w:bottom w:val="none" w:sz="0" w:space="0" w:color="auto"/>
            <w:right w:val="none" w:sz="0" w:space="0" w:color="auto"/>
          </w:divBdr>
          <w:divsChild>
            <w:div w:id="1110199092">
              <w:marLeft w:val="0"/>
              <w:marRight w:val="0"/>
              <w:marTop w:val="0"/>
              <w:marBottom w:val="0"/>
              <w:divBdr>
                <w:top w:val="none" w:sz="0" w:space="0" w:color="auto"/>
                <w:left w:val="none" w:sz="0" w:space="0" w:color="auto"/>
                <w:bottom w:val="none" w:sz="0" w:space="0" w:color="auto"/>
                <w:right w:val="none" w:sz="0" w:space="0" w:color="auto"/>
              </w:divBdr>
            </w:div>
            <w:div w:id="1409689185">
              <w:marLeft w:val="0"/>
              <w:marRight w:val="0"/>
              <w:marTop w:val="0"/>
              <w:marBottom w:val="0"/>
              <w:divBdr>
                <w:top w:val="none" w:sz="0" w:space="0" w:color="auto"/>
                <w:left w:val="none" w:sz="0" w:space="0" w:color="auto"/>
                <w:bottom w:val="none" w:sz="0" w:space="0" w:color="auto"/>
                <w:right w:val="none" w:sz="0" w:space="0" w:color="auto"/>
              </w:divBdr>
            </w:div>
            <w:div w:id="1926723491">
              <w:marLeft w:val="0"/>
              <w:marRight w:val="0"/>
              <w:marTop w:val="0"/>
              <w:marBottom w:val="0"/>
              <w:divBdr>
                <w:top w:val="none" w:sz="0" w:space="0" w:color="auto"/>
                <w:left w:val="none" w:sz="0" w:space="0" w:color="auto"/>
                <w:bottom w:val="none" w:sz="0" w:space="0" w:color="auto"/>
                <w:right w:val="none" w:sz="0" w:space="0" w:color="auto"/>
              </w:divBdr>
            </w:div>
            <w:div w:id="192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404">
      <w:bodyDiv w:val="1"/>
      <w:marLeft w:val="0"/>
      <w:marRight w:val="0"/>
      <w:marTop w:val="0"/>
      <w:marBottom w:val="0"/>
      <w:divBdr>
        <w:top w:val="none" w:sz="0" w:space="0" w:color="auto"/>
        <w:left w:val="none" w:sz="0" w:space="0" w:color="auto"/>
        <w:bottom w:val="none" w:sz="0" w:space="0" w:color="auto"/>
        <w:right w:val="none" w:sz="0" w:space="0" w:color="auto"/>
      </w:divBdr>
    </w:div>
    <w:div w:id="1035036114">
      <w:bodyDiv w:val="1"/>
      <w:marLeft w:val="0"/>
      <w:marRight w:val="0"/>
      <w:marTop w:val="0"/>
      <w:marBottom w:val="0"/>
      <w:divBdr>
        <w:top w:val="none" w:sz="0" w:space="0" w:color="auto"/>
        <w:left w:val="none" w:sz="0" w:space="0" w:color="auto"/>
        <w:bottom w:val="none" w:sz="0" w:space="0" w:color="auto"/>
        <w:right w:val="none" w:sz="0" w:space="0" w:color="auto"/>
      </w:divBdr>
    </w:div>
    <w:div w:id="1182665746">
      <w:bodyDiv w:val="1"/>
      <w:marLeft w:val="0"/>
      <w:marRight w:val="0"/>
      <w:marTop w:val="0"/>
      <w:marBottom w:val="0"/>
      <w:divBdr>
        <w:top w:val="none" w:sz="0" w:space="0" w:color="auto"/>
        <w:left w:val="none" w:sz="0" w:space="0" w:color="auto"/>
        <w:bottom w:val="none" w:sz="0" w:space="0" w:color="auto"/>
        <w:right w:val="none" w:sz="0" w:space="0" w:color="auto"/>
      </w:divBdr>
    </w:div>
    <w:div w:id="1451824164">
      <w:bodyDiv w:val="1"/>
      <w:marLeft w:val="0"/>
      <w:marRight w:val="0"/>
      <w:marTop w:val="0"/>
      <w:marBottom w:val="0"/>
      <w:divBdr>
        <w:top w:val="none" w:sz="0" w:space="0" w:color="auto"/>
        <w:left w:val="none" w:sz="0" w:space="0" w:color="auto"/>
        <w:bottom w:val="none" w:sz="0" w:space="0" w:color="auto"/>
        <w:right w:val="none" w:sz="0" w:space="0" w:color="auto"/>
      </w:divBdr>
    </w:div>
    <w:div w:id="17622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2741536894253B029C2899C0106A0"/>
        <w:category>
          <w:name w:val="General"/>
          <w:gallery w:val="placeholder"/>
        </w:category>
        <w:types>
          <w:type w:val="bbPlcHdr"/>
        </w:types>
        <w:behaviors>
          <w:behavior w:val="content"/>
        </w:behaviors>
        <w:guid w:val="{6176AB6E-6191-4A58-AE6E-35920E3D0FAA}"/>
      </w:docPartPr>
      <w:docPartBody>
        <w:p w:rsidR="00922E33" w:rsidRDefault="00075DB5" w:rsidP="00075DB5">
          <w:pPr>
            <w:pStyle w:val="1492741536894253B029C2899C0106A0"/>
          </w:pPr>
          <w:r w:rsidRPr="00256312">
            <w:rPr>
              <w:rStyle w:val="PlaceholderText"/>
            </w:rPr>
            <w:t>DD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44"/>
    <w:rsid w:val="000120C4"/>
    <w:rsid w:val="00075DB5"/>
    <w:rsid w:val="000841F4"/>
    <w:rsid w:val="00133018"/>
    <w:rsid w:val="00167B94"/>
    <w:rsid w:val="001C144A"/>
    <w:rsid w:val="001D0C44"/>
    <w:rsid w:val="00244E5E"/>
    <w:rsid w:val="002941CC"/>
    <w:rsid w:val="002D0347"/>
    <w:rsid w:val="002D3517"/>
    <w:rsid w:val="003A1A52"/>
    <w:rsid w:val="003D1BBC"/>
    <w:rsid w:val="003E554B"/>
    <w:rsid w:val="004035E8"/>
    <w:rsid w:val="00420FE1"/>
    <w:rsid w:val="0050383C"/>
    <w:rsid w:val="00557D87"/>
    <w:rsid w:val="005B1B44"/>
    <w:rsid w:val="005F2A02"/>
    <w:rsid w:val="00631567"/>
    <w:rsid w:val="00640D0F"/>
    <w:rsid w:val="006A100D"/>
    <w:rsid w:val="006B129E"/>
    <w:rsid w:val="00740C66"/>
    <w:rsid w:val="00767E44"/>
    <w:rsid w:val="00775DDB"/>
    <w:rsid w:val="00777719"/>
    <w:rsid w:val="007D7805"/>
    <w:rsid w:val="007E30AA"/>
    <w:rsid w:val="00821BEF"/>
    <w:rsid w:val="00825CB4"/>
    <w:rsid w:val="00886EC2"/>
    <w:rsid w:val="00922E33"/>
    <w:rsid w:val="009234F5"/>
    <w:rsid w:val="00924E63"/>
    <w:rsid w:val="00952152"/>
    <w:rsid w:val="009647C6"/>
    <w:rsid w:val="00A4522C"/>
    <w:rsid w:val="00A5592C"/>
    <w:rsid w:val="00AC0EE6"/>
    <w:rsid w:val="00B0778B"/>
    <w:rsid w:val="00BC1312"/>
    <w:rsid w:val="00C87D1F"/>
    <w:rsid w:val="00CD21C1"/>
    <w:rsid w:val="00CD4C2F"/>
    <w:rsid w:val="00CD640F"/>
    <w:rsid w:val="00D62B69"/>
    <w:rsid w:val="00DB13BD"/>
    <w:rsid w:val="00E307CF"/>
    <w:rsid w:val="00EA3383"/>
    <w:rsid w:val="00EE4710"/>
    <w:rsid w:val="00F045A5"/>
    <w:rsid w:val="00F0548F"/>
    <w:rsid w:val="00F0726A"/>
    <w:rsid w:val="00F33C82"/>
    <w:rsid w:val="00F46071"/>
    <w:rsid w:val="00FB17FA"/>
    <w:rsid w:val="00FC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B5"/>
    <w:rPr>
      <w:color w:val="808080"/>
    </w:rPr>
  </w:style>
  <w:style w:type="paragraph" w:customStyle="1" w:styleId="84F76F9AF1384327A6F44847B1E6D309">
    <w:name w:val="84F76F9AF1384327A6F44847B1E6D309"/>
  </w:style>
  <w:style w:type="paragraph" w:customStyle="1" w:styleId="AB92B409888941DC844B87BC6E5F0D11">
    <w:name w:val="AB92B409888941DC844B87BC6E5F0D11"/>
  </w:style>
  <w:style w:type="paragraph" w:customStyle="1" w:styleId="55E45C0216454450B7007C0339A8B0EA">
    <w:name w:val="55E45C0216454450B7007C0339A8B0EA"/>
    <w:rsid w:val="00075DB5"/>
  </w:style>
  <w:style w:type="paragraph" w:customStyle="1" w:styleId="8EBE1AAFD62A40D3854ED7A6E5E3FA5D">
    <w:name w:val="8EBE1AAFD62A40D3854ED7A6E5E3FA5D"/>
    <w:rsid w:val="00075DB5"/>
  </w:style>
  <w:style w:type="paragraph" w:customStyle="1" w:styleId="76C086122F3D4A2C80198AC32BF12F31">
    <w:name w:val="76C086122F3D4A2C80198AC32BF12F31"/>
    <w:rsid w:val="00075DB5"/>
  </w:style>
  <w:style w:type="paragraph" w:customStyle="1" w:styleId="466A6FD2E40144F7857F0B041CB3B1E8">
    <w:name w:val="466A6FD2E40144F7857F0B041CB3B1E8"/>
    <w:rsid w:val="00075DB5"/>
  </w:style>
  <w:style w:type="paragraph" w:customStyle="1" w:styleId="EC8423B32C29422081681FA8AFB9FB2C">
    <w:name w:val="EC8423B32C29422081681FA8AFB9FB2C"/>
    <w:rsid w:val="00075DB5"/>
  </w:style>
  <w:style w:type="paragraph" w:customStyle="1" w:styleId="E9C7E6BBFD7D41CE992B9DBDB2400404">
    <w:name w:val="E9C7E6BBFD7D41CE992B9DBDB2400404"/>
    <w:rsid w:val="00075DB5"/>
  </w:style>
  <w:style w:type="paragraph" w:customStyle="1" w:styleId="1492741536894253B029C2899C0106A0">
    <w:name w:val="1492741536894253B029C2899C0106A0"/>
    <w:rsid w:val="00075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7A534-3FDE-4A40-ABF0-D701AE1D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6665</Characters>
  <Application>Microsoft Office Word</Application>
  <DocSecurity>0</DocSecurity>
  <Lines>55</Lines>
  <Paragraphs>15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2018-02-27T10:16:00Z</dcterms:created>
  <dcterms:modified xsi:type="dcterms:W3CDTF">2018-03-01T11:42:00Z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